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jc w:val="center"/>
      </w:pPr>
      <w:r>
        <w:rPr>
          <w:rFonts w:ascii="Calibri" w:cs="Calibri" w:eastAsia="Calibri" w:hAnsi="Calibri"/>
          <w:b/>
          <w:bCs/>
          <w:color w:val="1B3A6B"/>
          <w:sz w:val="56"/>
          <w:szCs w:val="56"/>
        </w:rPr>
        <w:t xml:space="preserve">Veille AI Act — Compte-rendu</w:t>
      </w:r>
    </w:p>
    <w:p>
      <w:pPr>
        <w:spacing w:after="80"/>
      </w:pPr>
      <w:r>
        <w:rPr>
          <w:rFonts w:ascii="Calibri" w:cs="Calibri" w:eastAsia="Calibri" w:hAnsi="Calibri"/>
          <w:b/>
          <w:bCs/>
          <w:color w:val="1B3A6B"/>
          <w:sz w:val="22"/>
          <w:szCs w:val="22"/>
        </w:rPr>
        <w:t xml:space="preserve">Date : 9 octobre 2026</w:t>
      </w:r>
    </w:p>
    <w:p>
      <w:pPr>
        <w:spacing w:after="80"/>
      </w:pPr>
      <w:r>
        <w:rPr>
          <w:rFonts w:ascii="Calibri" w:cs="Calibri" w:eastAsia="Calibri" w:hAnsi="Calibri"/>
          <w:b w:val="false"/>
          <w:bCs w:val="false"/>
          <w:color w:val="1F2937"/>
          <w:sz w:val="22"/>
          <w:szCs w:val="22"/>
        </w:rPr>
        <w:t xml:space="preserve">Fenêtre couverte : 2 octobre 2026 → 9 octobre 2026</w:t>
      </w:r>
    </w:p>
    <w:p>
      <w:pPr>
        <w:spacing w:after="80"/>
      </w:pPr>
      <w:r>
        <w:rPr>
          <w:rFonts w:ascii="Calibri" w:cs="Calibri" w:eastAsia="Calibri" w:hAnsi="Calibri"/>
          <w:b w:val="false"/>
          <w:bCs w:val="false"/>
          <w:color w:val="1F2937"/>
          <w:sz w:val="22"/>
          <w:szCs w:val="22"/>
        </w:rPr>
        <w:t xml:space="preserve">Sources : 8 sources exploitées (✅), 2 consultées sans élément nouveau, 2 inaccessibles (⛔) — sur 12 tentées</w:t>
      </w:r>
      <w:r>
        <w:rPr>
          <w:rFonts w:ascii="Calibri" w:cs="Calibri" w:eastAsia="Calibri" w:hAnsi="Calibri"/>
          <w:b w:val="false"/>
          <w:bCs w:val="false"/>
          <w:i/>
          <w:iCs/>
          <w:color w:val="6B7280"/>
          <w:sz w:val="20"/>
          <w:szCs w:val="20"/>
        </w:rPr>
        <w:t xml:space="preserve"> [Corrigé le 09/10/2026 : la note annonçait « 4 sources exploitées, 3 consultées sans élément nouveau, 2 inaccessibles — sur 9 tentées ». Trois pages ouvertes à la relecture entrent dans la liste — le communiqué de la Commission sur le panel scientifique, la FAQ du Service Desk, l'index des actualités de l'IAPP — et digital-strategy passe de « consultée » à exploitée, puisque c'est sa liste « Latest News » qui porte le communiqué]</w:t>
      </w:r>
    </w:p>
    <w:p>
      <w:pPr>
        <w:spacing w:after="80"/>
      </w:pPr>
      <w:r>
        <w:rPr>
          <w:rFonts w:ascii="Calibri" w:cs="Calibri" w:eastAsia="Calibri" w:hAnsi="Calibri"/>
          <w:b w:val="false"/>
          <w:bCs w:val="false"/>
          <w:color w:val="1F2937"/>
          <w:sz w:val="22"/>
          <w:szCs w:val="22"/>
        </w:rPr>
        <w:t xml:space="preserve">Faits marquants de la semaine : 2</w:t>
      </w:r>
    </w:p>
    <w:p>
      <w:pPr>
        <w:spacing w:after="40"/>
      </w:pPr>
      <w:r>
        <w:t xml:space="preserve"/>
      </w:r>
    </w:p>
    <w:p>
      <w:pPr>
        <w:spacing w:after="80"/>
      </w:pPr>
      <w:r>
        <w:rPr>
          <w:rFonts w:ascii="Calibri" w:cs="Calibri" w:eastAsia="Calibri" w:hAnsi="Calibri"/>
          <w:b/>
          <w:bCs/>
          <w:color w:val="B45309"/>
          <w:sz w:val="22"/>
          <w:szCs w:val="22"/>
        </w:rPr>
        <w:t xml:space="preserve">🟡  Niveau d'alerte : À SURVEILLER — deux analyses nouvelles dans la fenêtre, et une publication de la Commission européenne sur la sûreté et les risques des modèles d'IA de frontière.</w:t>
      </w:r>
      <w:r>
        <w:rPr>
          <w:rFonts w:ascii="Calibri" w:cs="Calibri" w:eastAsia="Calibri" w:hAnsi="Calibri"/>
          <w:b w:val="false"/>
          <w:bCs w:val="false"/>
          <w:i/>
          <w:iCs/>
          <w:color w:val="6B7280"/>
          <w:sz w:val="20"/>
          <w:szCs w:val="20"/>
        </w:rPr>
        <w:t xml:space="preserve"> [Corrigé le 09/10/2026 : la note portait « 🟢 Niveau d'alerte : VERT — Aucun élément critique. Semaine analytique sans publication officielle nouvelle. » tout en annonçant deux faits marquants datés dans sa fenêtre. L'étape 3bis du cadrage réserve le 🟢 aux semaines sans nouveauté, et impose alors un compte-rendu allégé ; dès qu'un fait marquant est nouveau, le niveau est 🟡 ou 🔴. La note avait pris le format de la première branche et le niveau de la seconde]</w:t>
      </w:r>
    </w:p>
    <w:p>
      <w:pPr>
        <w:pBdr>
          <w:bottom w:val="single" w:color="CCCCCC" w:sz="4" w:space="1"/>
        </w:pBdr>
        <w:spacing w:after="80"/>
      </w:pPr>
      <w:r>
        <w:t xml:space="preserve"/>
      </w:r>
    </w:p>
    <w:p>
      <w:pPr>
        <w:spacing w:after="100" w:before="280"/>
      </w:pPr>
      <w:r>
        <w:rPr>
          <w:rFonts w:ascii="Calibri" w:cs="Calibri" w:eastAsia="Calibri" w:hAnsi="Calibri"/>
          <w:b/>
          <w:bCs/>
          <w:color w:val="1B3A6B"/>
          <w:sz w:val="28"/>
          <w:szCs w:val="28"/>
        </w:rPr>
        <w:t xml:space="preserve">🔵 En bref</w:t>
      </w:r>
    </w:p>
    <w:p>
      <w:pPr>
        <w:pStyle w:val="ListParagraph"/>
        <w:numPr>
          <w:ilvl w:val="0"/>
          <w:numId w:val="1"/>
        </w:numPr>
        <w:spacing w:after="80"/>
      </w:pPr>
      <w:r>
        <w:rPr>
          <w:rFonts w:ascii="Calibri" w:cs="Calibri" w:eastAsia="Calibri" w:hAnsi="Calibri"/>
          <w:b w:val="false"/>
          <w:bCs w:val="false"/>
          <w:color w:val="1F2937"/>
          <w:sz w:val="22"/>
          <w:szCs w:val="22"/>
        </w:rPr>
        <w:t xml:space="preserve">IAPP — Isabelle Roccia (08/10/2026) : malgré l'absence de convergence réglementaire totale, la prévisibilité et la cohérence de la politique numérique européenne — dont les initiatives Digital Omnibus, présentées comme emblématiques d'une tendance à la simplification — pourraient aider les organisations à arbitrer leurs stratégies de conformité et de gouvernance.</w:t>
      </w:r>
      <w:r>
        <w:rPr>
          <w:rFonts w:ascii="Calibri" w:cs="Calibri" w:eastAsia="Calibri" w:hAnsi="Calibri"/>
          <w:b w:val="false"/>
          <w:bCs w:val="false"/>
          <w:i/>
          <w:iCs/>
          <w:color w:val="6B7280"/>
          <w:sz w:val="20"/>
          <w:szCs w:val="20"/>
        </w:rPr>
        <w:t xml:space="preserve"> [Corrigé le 09/10/2026 : la note écrivait que ces deux qualités « aident les organisations à naviguer leurs obligations de conformité IA ». Deux écarts avec la page : l'article pose la question au conditionnel — il demande si elles pourraient « compensate for the current alignment gap » — et parle de « compliance and governance challenges », sans jamais écrire IA ; son corps ne mentionne pas une seule fois l'intelligence artificielle]</w:t>
      </w:r>
    </w:p>
    <w:p>
      <w:pPr>
        <w:pStyle w:val="ListParagraph"/>
        <w:numPr>
          <w:ilvl w:val="0"/>
          <w:numId w:val="1"/>
        </w:numPr>
        <w:spacing w:after="80"/>
      </w:pPr>
      <w:r>
        <w:rPr>
          <w:rFonts w:ascii="Calibri" w:cs="Calibri" w:eastAsia="Calibri" w:hAnsi="Calibri"/>
          <w:b w:val="false"/>
          <w:bCs w:val="false"/>
          <w:color w:val="1F2937"/>
          <w:sz w:val="22"/>
          <w:szCs w:val="22"/>
        </w:rPr>
        <w:t xml:space="preserve">IAPP — Daniel Alfredo Zamudio Lopez (07/10/2026, MEMBER) : proposition d'un principe de « governance minimization » adapté à la taxonomie de risques de l'EU AI Act — chaque cas d'usage IA (chatbot, agents autonomes, systèmes sensibles) appelle un niveau d'oversight distinct. Seule l'introduction a pu être lue.</w:t>
      </w:r>
    </w:p>
    <w:p>
      <w:pPr>
        <w:pStyle w:val="ListParagraph"/>
        <w:numPr>
          <w:ilvl w:val="0"/>
          <w:numId w:val="1"/>
        </w:numPr>
        <w:spacing w:after="80"/>
      </w:pPr>
      <w:r>
        <w:rPr>
          <w:rFonts w:ascii="Calibri" w:cs="Calibri" w:eastAsia="Calibri" w:hAnsi="Calibri"/>
          <w:b w:val="false"/>
          <w:bCs w:val="false"/>
          <w:color w:val="1F2937"/>
          <w:sz w:val="22"/>
          <w:szCs w:val="22"/>
        </w:rPr>
        <w:t xml:space="preserve">Commission européenne (05/10/2026 dans la liste des actualités, 09/10/2026 sur la page du communiqué) : réunion extraordinaire du groupe scientifique d'experts indépendants consacrée à la sûreté et aux risques des modèles d'IA de frontière, et à des incidents récents de perte de contrôle. Rien de nouveau en revanche du Conseil de l'UE, de la CNIL ni du Future of Life Institute dans la fenêtre du 2 au 9 octobre 2026.</w:t>
      </w:r>
      <w:r>
        <w:rPr>
          <w:rFonts w:ascii="Calibri" w:cs="Calibri" w:eastAsia="Calibri" w:hAnsi="Calibri"/>
          <w:b w:val="false"/>
          <w:bCs w:val="false"/>
          <w:i/>
          <w:iCs/>
          <w:color w:val="6B7280"/>
          <w:sz w:val="20"/>
          <w:szCs w:val="20"/>
        </w:rPr>
        <w:t xml:space="preserve"> [Corrigé le 09/10/2026 : la note écrivait « Semaine institutionnelle creuse : aucune publication nouvelle de la Commission européenne, du Conseil UE, de la CNIL ou du Future of Life Institute dans la fenêtre ». La Commission a bien publié : voir la section Actualité officielle UE et la réserve de date qui y figure]</w:t>
      </w:r>
    </w:p>
    <w:p>
      <w:pPr>
        <w:pBdr>
          <w:bottom w:val="single" w:color="CCCCCC" w:sz="4" w:space="1"/>
        </w:pBdr>
        <w:spacing w:after="80"/>
      </w:pPr>
      <w:r>
        <w:t xml:space="preserve"/>
      </w:r>
    </w:p>
    <w:p>
      <w:pPr>
        <w:spacing w:after="100" w:before="280"/>
      </w:pPr>
      <w:r>
        <w:rPr>
          <w:rFonts w:ascii="Calibri" w:cs="Calibri" w:eastAsia="Calibri" w:hAnsi="Calibri"/>
          <w:b/>
          <w:bCs/>
          <w:color w:val="1B3A6B"/>
          <w:sz w:val="28"/>
          <w:szCs w:val="28"/>
        </w:rPr>
        <w:t xml:space="preserve">📅 Échéances réglementaires à venir</w:t>
      </w:r>
    </w:p>
    <w:p>
      <w:pPr>
        <w:spacing w:after="80"/>
      </w:pPr>
      <w:r>
        <w:rPr>
          <w:rFonts w:ascii="Calibri" w:cs="Calibri" w:eastAsia="Calibri" w:hAnsi="Calibri"/>
          <w:b w:val="false"/>
          <w:bCs w:val="false"/>
          <w:color w:val="1F2937"/>
          <w:sz w:val="22"/>
          <w:szCs w:val="22"/>
        </w:rPr>
        <w:t xml:space="preserve">Source : </w:t>
      </w:r>
      <w:hyperlink w:history="1" r:id="rIdl0gxkat1wptthzde5ke-a">
        <w:r>
          <w:rPr>
            <w:rFonts w:ascii="Calibri" w:cs="Calibri" w:eastAsia="Calibri" w:hAnsi="Calibri"/>
            <w:color w:val="1155CC"/>
            <w:sz w:val="22"/>
            <w:szCs w:val="22"/>
            <w:u w:val="single"/>
          </w:rPr>
          <w:t xml:space="preserve">AI Act Service Desk — calendrier d'implémentation</w:t>
        </w:r>
      </w:hyperlink>
      <w:r>
        <w:rPr>
          <w:rFonts w:ascii="Calibri" w:cs="Calibri" w:eastAsia="Calibri" w:hAnsi="Calibri"/>
          <w:b w:val="false"/>
          <w:bCs w:val="false"/>
          <w:color w:val="1F2937"/>
          <w:sz w:val="22"/>
          <w:szCs w:val="22"/>
        </w:rPr>
        <w:t xml:space="preserve"> (vérifié le 09/10/2026), prenant en compte les modifications de l'AI Act introduites par le Digital Omnibus on AI.</w:t>
      </w:r>
      <w:r>
        <w:rPr>
          <w:rFonts w:ascii="Calibri" w:cs="Calibri" w:eastAsia="Calibri" w:hAnsi="Calibri"/>
          <w:b w:val="false"/>
          <w:bCs w:val="false"/>
          <w:i/>
          <w:iCs/>
          <w:color w:val="6B7280"/>
          <w:sz w:val="20"/>
          <w:szCs w:val="20"/>
        </w:rPr>
        <w:t xml:space="preserve"> [Corrigé le 09/10/2026 : la mention « (règlement (UE) 2026/1744) » figurait dans cette phrase de source, alors que la page du calendrier ne porte ni numéro ni date de publication — elle écrit seulement « The timeline takes into account the AI Act amendments introduced by Digital Omnibus on AI ». La référence et sa vérification sont descendues dans le paragraphe « Références législatives » ci-dessous]</w:t>
      </w:r>
    </w:p>
    <w:p>
      <w:pPr>
        <w:spacing w:after="40"/>
      </w:pPr>
      <w:r>
        <w:t xml:space="preserve"/>
      </w:r>
    </w:p>
    <w:p>
      <w:pPr>
        <w:pStyle w:val="ListParagraph"/>
        <w:numPr>
          <w:ilvl w:val="0"/>
          <w:numId w:val="1"/>
        </w:numPr>
        <w:spacing w:after="80"/>
      </w:pPr>
      <w:r>
        <w:rPr>
          <w:rFonts w:ascii="Calibri" w:cs="Calibri" w:eastAsia="Calibri" w:hAnsi="Calibri"/>
          <w:b/>
          <w:bCs/>
          <w:color w:val="1F2937"/>
          <w:sz w:val="22"/>
          <w:szCs w:val="22"/>
        </w:rPr>
        <w:t xml:space="preserve">⏳ 2 décembre 2026 — Nouvelles interdictions : deepfakes sexuels non consentis et CSAM entrent en application. Fin de la période transitoire de l'art. 50 §2 pour certains fournisseurs de systèmes générant des contenus synthétiques mis sur le marché avant le 2 août 2026.</w:t>
      </w:r>
      <w:r>
        <w:rPr>
          <w:rFonts w:ascii="Calibri" w:cs="Calibri" w:eastAsia="Calibri" w:hAnsi="Calibri"/>
          <w:b w:val="false"/>
          <w:bCs w:val="false"/>
          <w:i/>
          <w:iCs/>
          <w:color w:val="6B7280"/>
          <w:sz w:val="20"/>
          <w:szCs w:val="20"/>
        </w:rPr>
        <w:t xml:space="preserve"> [Corrigé le 09/10/2026 : la ligne écrivait « pour les systèmes génératifs ». Le calendrier restreint l'échéance à « certain providers of AI systems, including GPAI systems, generating synthetic content, that were already placed on the market before 02 Aug 2026 » : des fournisseurs, et des contenus synthétiques]</w:t>
      </w:r>
    </w:p>
    <w:p>
      <w:pPr>
        <w:pStyle w:val="ListParagraph"/>
        <w:numPr>
          <w:ilvl w:val="0"/>
          <w:numId w:val="1"/>
        </w:numPr>
        <w:spacing w:after="80"/>
      </w:pPr>
      <w:r>
        <w:rPr>
          <w:rFonts w:ascii="Calibri" w:cs="Calibri" w:eastAsia="Calibri" w:hAnsi="Calibri"/>
          <w:b w:val="false"/>
          <w:bCs w:val="false"/>
          <w:color w:val="1F2937"/>
          <w:sz w:val="22"/>
          <w:szCs w:val="22"/>
        </w:rPr>
        <w:t xml:space="preserve">2 août 2027 — Chaque État membre doit disposer d'au moins un bac à sable réglementaire IA opérationnel.</w:t>
      </w:r>
    </w:p>
    <w:p>
      <w:pPr>
        <w:pStyle w:val="ListParagraph"/>
        <w:numPr>
          <w:ilvl w:val="0"/>
          <w:numId w:val="1"/>
        </w:numPr>
        <w:spacing w:after="80"/>
      </w:pPr>
      <w:r>
        <w:rPr>
          <w:rFonts w:ascii="Calibri" w:cs="Calibri" w:eastAsia="Calibri" w:hAnsi="Calibri"/>
          <w:b w:val="false"/>
          <w:bCs w:val="false"/>
          <w:color w:val="1F2937"/>
          <w:sz w:val="22"/>
          <w:szCs w:val="22"/>
        </w:rPr>
        <w:t xml:space="preserve">2 décembre 2027 — Entrée en application des règles pour les systèmes à haut risque (Annexe III).</w:t>
      </w:r>
    </w:p>
    <w:p>
      <w:pPr>
        <w:pStyle w:val="ListParagraph"/>
        <w:numPr>
          <w:ilvl w:val="0"/>
          <w:numId w:val="1"/>
        </w:numPr>
        <w:spacing w:after="80"/>
      </w:pPr>
      <w:r>
        <w:rPr>
          <w:rFonts w:ascii="Calibri" w:cs="Calibri" w:eastAsia="Calibri" w:hAnsi="Calibri"/>
          <w:b w:val="false"/>
          <w:bCs w:val="false"/>
          <w:color w:val="1F2937"/>
          <w:sz w:val="22"/>
          <w:szCs w:val="22"/>
        </w:rPr>
        <w:t xml:space="preserve">2 août 2028 — Entrée en application des règles pour les systèmes à haut risque intégrés à des produits réglementés (Annexe I).</w:t>
      </w:r>
    </w:p>
    <w:p>
      <w:pPr>
        <w:spacing w:after="40"/>
      </w:pPr>
      <w:r>
        <w:t xml:space="preserve"/>
      </w:r>
    </w:p>
    <w:p>
      <w:pPr>
        <w:spacing w:after="80"/>
      </w:pPr>
      <w:r>
        <w:rPr>
          <w:rFonts w:ascii="Calibri" w:cs="Calibri" w:eastAsia="Calibri" w:hAnsi="Calibri"/>
          <w:b w:val="false"/>
          <w:bCs w:val="false"/>
          <w:color w:val="6B7280"/>
          <w:sz w:val="22"/>
          <w:szCs w:val="22"/>
        </w:rPr>
        <w:t xml:space="preserve">Références législatives (vérifiées le 09/10/2026 sur la page Q&amp;R de la CNIL, EUR-Lex restant inaccessible) : règlement (UE) 2024/1689 tel que modifié par le règlement (UE) 2026/1744, publié au JOUE le 24 juillet 2026 et en vigueur le 27 juillet 2026. La page Q&amp;R de la CNIL écrit « Une version amendée du RIA a été adopté le 24 juillet 2026 et est entrée en vigueur le 27 juillet 2026 », et son bloc de textes de référence lie le règlement sous l'identifiant OJ:L_202601744 — c'est là que le numéro se vérifie, sans EUR-Lex. Deux dates à ne pas confondre : le 24 juillet est la date de publication au Journal officiel ; la date de l'acte lui-même, le 8 juillet 2026, provient du cadrage du job, qui la dit relevée sur EUR-Lex le 12/09/2026, et n'est pas revérifiable aujourd'hui. La page du cadre réglementaire IA de la Commission, elle aussi listée, porte la même chronologie en clair — « This legislative proposal (dubbed as the 'AI Omnibus') was adopted on 19 November 2025, a political agreement was reached on 7 May 2026 and entered into force on 27 July 2026 » — et invite à « Find the final text of the AI Omnibus Regulation » sous ce même identifiant OJ:L_202601744. Trois dates à ne pas mélanger : le 19 novembre 2025 est l'adoption de la PROPOSITION par la Commission, le 7 mai 2026 l'accord politique, le 24 juillet 2026 la publication au Journal officiel. EUR-Lex répond 202 (Accepted) avec un corps de 0 octet sur les quatre routes testées le 09/10/2026 : page de recherche, CELEX:32026R1744, identifiant OJ:L_202601744 et identifiant ELI reg/2026/1744.</w:t>
      </w:r>
      <w:r>
        <w:rPr>
          <w:rFonts w:ascii="Calibri" w:cs="Calibri" w:eastAsia="Calibri" w:hAnsi="Calibri"/>
          <w:b w:val="false"/>
          <w:bCs w:val="false"/>
          <w:i/>
          <w:iCs/>
          <w:color w:val="6B7280"/>
          <w:sz w:val="20"/>
          <w:szCs w:val="20"/>
        </w:rPr>
        <w:t xml:space="preserve"> [Corrigé le 09/10/2026 : la note déclarait ces références « héritées du cadrage du 30/08/2026, non vérifiées à EUR-Lex lors de cette exécution ». La réserve était inutile : la page Q&amp;R de la CNIL, listée, ouverte et citée par la note, porte dans son texte l'entrée en vigueur du 27 juillet et l'adoption du 24 juillet, et dans l'adresse de son bloc de textes de référence l'identifiant OJ:L_202601744, c'est-à-dire le numéro du règlement. Ajouté aussi la date d'acte du 8 juillet 2026, que le cadrage portait et que la note avait perdue, et l'écart entre acte et publication, que le cadrage demande de signaler]</w:t>
      </w:r>
    </w:p>
    <w:p>
      <w:pPr>
        <w:pBdr>
          <w:bottom w:val="single" w:color="CCCCCC" w:sz="4" w:space="1"/>
        </w:pBdr>
        <w:spacing w:after="80"/>
      </w:pPr>
      <w:r>
        <w:t xml:space="preserve"/>
      </w:r>
    </w:p>
    <w:p>
      <w:pPr>
        <w:spacing w:after="100" w:before="280"/>
      </w:pPr>
      <w:r>
        <w:rPr>
          <w:rFonts w:ascii="Calibri" w:cs="Calibri" w:eastAsia="Calibri" w:hAnsi="Calibri"/>
          <w:b/>
          <w:bCs/>
          <w:color w:val="1B3A6B"/>
          <w:sz w:val="28"/>
          <w:szCs w:val="28"/>
        </w:rPr>
        <w:t xml:space="preserve">🏛️ Actualité officielle UE</w:t>
      </w:r>
    </w:p>
    <w:p>
      <w:pPr>
        <w:spacing w:after="80"/>
      </w:pPr>
      <w:r>
        <w:rPr>
          <w:rFonts w:ascii="Calibri" w:cs="Calibri" w:eastAsia="Calibri" w:hAnsi="Calibri"/>
          <w:b/>
          <w:bCs/>
          <w:color w:val="1F2937"/>
          <w:sz w:val="22"/>
          <w:szCs w:val="22"/>
        </w:rPr>
        <w:t xml:space="preserve">Commission européenne — </w:t>
      </w:r>
      <w:hyperlink w:history="1" r:id="rIdnose_7ihgsakoxixomedb">
        <w:r>
          <w:rPr>
            <w:rFonts w:ascii="Calibri" w:cs="Calibri" w:eastAsia="Calibri" w:hAnsi="Calibri"/>
            <w:color w:val="1155CC"/>
            <w:sz w:val="22"/>
            <w:szCs w:val="22"/>
            <w:u w:val="single"/>
          </w:rPr>
          <w:t xml:space="preserve">digital-strategy.ec.europa.eu</w:t>
        </w:r>
      </w:hyperlink>
    </w:p>
    <w:p>
      <w:pPr>
        <w:spacing w:after="80"/>
      </w:pPr>
      <w:r>
        <w:rPr>
          <w:rFonts w:ascii="Calibri" w:cs="Calibri" w:eastAsia="Calibri" w:hAnsi="Calibri"/>
          <w:b w:val="false"/>
          <w:bCs w:val="false"/>
          <w:color w:val="1F2937"/>
          <w:sz w:val="22"/>
          <w:szCs w:val="22"/>
        </w:rPr>
        <w:t xml:space="preserve">Exploitée. La liste « Latest News » porte en tête un communiqué de presse dont le champ de date affiche « 05 October 2026 » : « Commission holds special meeting of Scientific panel on frontier AI safety and risks ». Sa propre page — qui n'est pas au nombre des sources listées de cette note — affichait au 9 octobre 2026 une date de publication du 09 October 2026, une dernière mise à jour du 9 October 2026, et une phrase d'ouverture commençant par Today : c'est une publication du 9 octobre, antidatée au 5 dans la liste. ⚠️ Les deux dates tombent dans la fenêtre du 2 au 9 octobre ; celle de la page fait foi pour l'événement, celle de la liste gouvernera le classement de la prochaine édition — et le 05/10 y sera hors fenêtre. Suivent, hors fenêtre du jour et déjà couverts dans le CR du 2 octobre 2026, le lancement de l'EDIC Agri-Food (1er octobre) et l'Eurobaromètre sur les cybermenaces (30 septembre).</w:t>
      </w:r>
      <w:r>
        <w:rPr>
          <w:rFonts w:ascii="Calibri" w:cs="Calibri" w:eastAsia="Calibri" w:hAnsi="Calibri"/>
          <w:b w:val="false"/>
          <w:bCs w:val="false"/>
          <w:i/>
          <w:iCs/>
          <w:color w:val="6B7280"/>
          <w:sz w:val="20"/>
          <w:szCs w:val="20"/>
        </w:rPr>
        <w:t xml:space="preserve"> [Corrigé le 09/10/2026 : la note écrivait « Consultée — sans élément nouveau dans la fenêtre du 2 au 9 octobre 2026 » et nommait comme « les dernières actualités indexées sur cette page » les deux entrées du 1er octobre et du 30 septembre, qui sont la deuxième et la troisième de la liste. La première, datée du 5 octobre dans la liste, n'était pas reprise. Réserve mesurée : la dernière capture de cette page antérieure à l'exécution, le 05/10/2026 à 02h39, montre une liste qui s'arrête bien à l'EDIC Agri-Food — l'entrée n'y figurait pas encore malgré sa date, et a pu paraître après la lecture de 09h03-09h17. Ce n'est donc pas une source écartée, c'est une publication arrivée dans la fenêtre et absente de la note]</w:t>
      </w:r>
      <w:r>
        <w:rPr>
          <w:rFonts w:ascii="Times New Roman" w:cs="Times New Roman" w:eastAsia="Times New Roman" w:hAnsi="Times New Roman"/>
          <w:i/>
          <w:iCs/>
          <w:color w:val="6B7280"/>
          <w:sz w:val="18"/>
          <w:szCs w:val="18"/>
        </w:rPr>
        <w:t xml:space="preserve">   [Corrigé le 12/10/2026 : ces trois éléments étaient donnés entre guillemets alors que la page qui les porte n'est pas listée par la note, et deux d'entre eux ont changé depuis. Relevé le 12/10/2026 sur la page du communiqué : la date de publication est toujours « Publication 09 October 2026 », mais la dernière mise à jour est passée à « Last update 12 October 2026 », et le mot « Today » a disparu de la phrase d'ouverture, devenue « The Commission holds a special meeting of the Scientific Panel ». La note avait donc raison le 9 octobre : c'est la page qui a bougé. Les champs périssables sortent des guillemets, l'observation reste — la liste « Latest News » datait bien ce communiqué du 05 October 2026, et sa page du 09. C'est controle_ai_act.py qui a signalé l'écart, en refusant la note le 12/10/2026 : « CITATION COURTE ABSENTE DES PAGES DE LA NOTE ».]</w:t>
      </w:r>
    </w:p>
    <w:p>
      <w:pPr>
        <w:spacing w:after="80"/>
      </w:pPr>
      <w:r>
        <w:rPr>
          <w:rFonts w:ascii="Calibri" w:cs="Calibri" w:eastAsia="Calibri" w:hAnsi="Calibri"/>
          <w:b w:val="false"/>
          <w:bCs w:val="false"/>
          <w:color w:val="1F2937"/>
          <w:sz w:val="22"/>
          <w:szCs w:val="22"/>
        </w:rPr>
        <w:t xml:space="preserve">Le panel enquête sur des incidents récents de perte de contrôle et a préparé, avec le Bureau de l'IA, un jeu de questions destiné aux entreprises qui ont développé les modèles concernés. Il réunit « 60 world-leading independent experts who advise the EU AI Office and national authorities on systemic risks, model classification, evaluation methodologies, and cross-border market surveillance » et remet à la Commission des recommandations sur la sûreté et la sécurité des modèles de frontière. Henna Virkkunen, vice-présidente exécutive pour la souveraineté technologique, la sécurité et la démocratie, y déclare : « The EU has the first law in the world that addresses systemic risk from AI ». Portée pour un ESSMS : aucune obligation nouvelle, mais le signe que l'application du volet « risque systémique » est engagée.</w:t>
      </w:r>
      <w:r>
        <w:rPr>
          <w:rFonts w:ascii="Calibri" w:cs="Calibri" w:eastAsia="Calibri" w:hAnsi="Calibri"/>
          <w:b w:val="false"/>
          <w:bCs w:val="false"/>
          <w:i/>
          <w:iCs/>
          <w:color w:val="6B7280"/>
          <w:sz w:val="20"/>
          <w:szCs w:val="20"/>
        </w:rPr>
        <w:t xml:space="preserve"> [Corrigé le 09/10/2026 : paragraphe ajouté — le communiqué n'était pas repris]</w:t>
      </w:r>
    </w:p>
    <w:p>
      <w:pPr>
        <w:spacing w:after="40"/>
      </w:pPr>
      <w:r>
        <w:t xml:space="preserve"/>
      </w:r>
    </w:p>
    <w:p>
      <w:pPr>
        <w:spacing w:after="80"/>
      </w:pPr>
      <w:r>
        <w:rPr>
          <w:rFonts w:ascii="Calibri" w:cs="Calibri" w:eastAsia="Calibri" w:hAnsi="Calibri"/>
          <w:b/>
          <w:bCs/>
          <w:color w:val="1F2937"/>
          <w:sz w:val="22"/>
          <w:szCs w:val="22"/>
        </w:rPr>
        <w:t xml:space="preserve">AI Act Service Desk — Calendrier d'implémentation</w:t>
      </w:r>
    </w:p>
    <w:p>
      <w:pPr>
        <w:spacing w:after="80"/>
      </w:pPr>
      <w:r>
        <w:rPr>
          <w:rFonts w:ascii="Calibri" w:cs="Calibri" w:eastAsia="Calibri" w:hAnsi="Calibri"/>
          <w:b w:val="false"/>
          <w:bCs w:val="false"/>
          <w:color w:val="1F2937"/>
          <w:sz w:val="22"/>
          <w:szCs w:val="22"/>
        </w:rPr>
        <w:t xml:space="preserve">Consulté — calendrier stable, pas de mise à jour dans la fenêtre. Voir section Échéances ci-dessus pour les jalons relevés littéralement sur la page. La FAQ du même site, vers laquelle la page du calendrier renvoie explicitement, a été ouverte le 09/10/2026 (18 111 caractères) : elle décrit l'omnibus au présent de la proposition — « Why is the European Commission proposing to amend the AI Act? », « The proposal acknowledges the challenge that the delay of standards » — là où la page du calendrier écrit « certain provisions of the AI Act have been amended ». Les deux pages du même service ne décrivent pas le même état du droit ; les dates retenues ici sont celles du calendrier, corroborées en français par la page Q&amp;R de la CNIL.</w:t>
      </w:r>
      <w:r>
        <w:rPr>
          <w:rFonts w:ascii="Calibri" w:cs="Calibri" w:eastAsia="Calibri" w:hAnsi="Calibri"/>
          <w:b w:val="false"/>
          <w:bCs w:val="false"/>
          <w:i/>
          <w:iCs/>
          <w:color w:val="6B7280"/>
          <w:sz w:val="20"/>
          <w:szCs w:val="20"/>
        </w:rPr>
        <w:t xml:space="preserve"> [Corrigé le 09/10/2026 : la FAQ du Service Desk n'avait pas été ouverte, alors que la page du calendrier y renvoie ; son désaccord avec le calendrier sur le statut de l'omnibus est la seconde moitié de l'explication du flottement sur la référence du règlement]</w:t>
      </w:r>
    </w:p>
    <w:p>
      <w:pPr>
        <w:spacing w:after="40"/>
      </w:pPr>
      <w:r>
        <w:t xml:space="preserve"/>
      </w:r>
    </w:p>
    <w:p>
      <w:pPr>
        <w:spacing w:after="80"/>
      </w:pPr>
      <w:r>
        <w:rPr>
          <w:rFonts w:ascii="Calibri" w:cs="Calibri" w:eastAsia="Calibri" w:hAnsi="Calibri"/>
          <w:b/>
          <w:bCs/>
          <w:color w:val="1F2937"/>
          <w:sz w:val="22"/>
          <w:szCs w:val="22"/>
        </w:rPr>
        <w:t xml:space="preserve">Conseil de l'UE — ⛔ inaccessible</w:t>
      </w:r>
    </w:p>
    <w:p>
      <w:pPr>
        <w:spacing w:after="80"/>
      </w:pPr>
      <w:r>
        <w:rPr>
          <w:rFonts w:ascii="Calibri" w:cs="Calibri" w:eastAsia="Calibri" w:hAnsi="Calibri"/>
          <w:b w:val="false"/>
          <w:bCs w:val="false"/>
          <w:color w:val="1F2937"/>
          <w:sz w:val="22"/>
          <w:szCs w:val="22"/>
        </w:rPr>
        <w:t xml:space="preserve">Blocage Cloudflare (HTTP 403). Inaccessible en mode headless quel que soit l'agent utilisé.</w:t>
      </w:r>
    </w:p>
    <w:p>
      <w:pPr>
        <w:spacing w:after="40"/>
      </w:pPr>
      <w:r>
        <w:t xml:space="preserve"/>
      </w:r>
    </w:p>
    <w:p>
      <w:pPr>
        <w:spacing w:after="80"/>
      </w:pPr>
      <w:r>
        <w:rPr>
          <w:rFonts w:ascii="Calibri" w:cs="Calibri" w:eastAsia="Calibri" w:hAnsi="Calibri"/>
          <w:b/>
          <w:bCs/>
          <w:color w:val="1F2937"/>
          <w:sz w:val="22"/>
          <w:szCs w:val="22"/>
        </w:rPr>
        <w:t xml:space="preserve">EUR-Lex — ⛔ inaccessible</w:t>
      </w:r>
    </w:p>
    <w:p>
      <w:pPr>
        <w:spacing w:after="80"/>
      </w:pPr>
      <w:r>
        <w:rPr>
          <w:rFonts w:ascii="Calibri" w:cs="Calibri" w:eastAsia="Calibri" w:hAnsi="Calibri"/>
          <w:b w:val="false"/>
          <w:bCs w:val="false"/>
          <w:color w:val="1F2937"/>
          <w:sz w:val="22"/>
          <w:szCs w:val="22"/>
        </w:rPr>
        <w:t xml:space="preserve">La page de recherche EUR-Lex retourne un corps de 0 octet avec un code HTTP 202 (Accepted) — ce n'est pas une coquille JavaScript, qui rendrait du HTML. Quatre routes testées le 09/10/2026 répondent toutes 202 avec un corps vide : page de recherche, CELEX:32026R1744, identifiant OJ:L_202601744 et identifiant ELI reg/2026/1744. Le numéro du règlement se vérifie ailleurs : sur la page Q&amp;R de la CNIL (voir Références législatives).</w:t>
      </w:r>
      <w:r>
        <w:rPr>
          <w:rFonts w:ascii="Calibri" w:cs="Calibri" w:eastAsia="Calibri" w:hAnsi="Calibri"/>
          <w:b w:val="false"/>
          <w:bCs w:val="false"/>
          <w:i/>
          <w:iCs/>
          <w:color w:val="6B7280"/>
          <w:sz w:val="20"/>
          <w:szCs w:val="20"/>
        </w:rPr>
        <w:t xml:space="preserve"> [Corrigé le 09/10/2026 : la note écrivait « retourne un contenu vide (SPA JavaScript côté client) » et « répond 202 (redirection) ». Deux diagnostics faux : un corps de 0 octet n'est pas une coquille JavaScript — une vraie application de page unique en rend une, comme iapp.org/news et ses 4 187 caractères — et 202 est un Accepted, pas une redirection]</w:t>
      </w:r>
    </w:p>
    <w:p>
      <w:pPr>
        <w:pBdr>
          <w:bottom w:val="single" w:color="CCCCCC" w:sz="4" w:space="1"/>
        </w:pBdr>
        <w:spacing w:after="80"/>
      </w:pPr>
      <w:r>
        <w:t xml:space="preserve"/>
      </w:r>
    </w:p>
    <w:p>
      <w:pPr>
        <w:spacing w:after="100" w:before="280"/>
      </w:pPr>
      <w:r>
        <w:rPr>
          <w:rFonts w:ascii="Calibri" w:cs="Calibri" w:eastAsia="Calibri" w:hAnsi="Calibri"/>
          <w:b/>
          <w:bCs/>
          <w:color w:val="1B3A6B"/>
          <w:sz w:val="28"/>
          <w:szCs w:val="28"/>
        </w:rPr>
        <w:t xml:space="preserve">📰 Analyses &amp; gouvernance</w:t>
      </w:r>
    </w:p>
    <w:p>
      <w:pPr>
        <w:spacing w:after="80"/>
      </w:pPr>
      <w:r>
        <w:rPr>
          <w:rFonts w:ascii="Calibri" w:cs="Calibri" w:eastAsia="Calibri" w:hAnsi="Calibri"/>
          <w:b/>
          <w:bCs/>
          <w:color w:val="1F2937"/>
          <w:sz w:val="22"/>
          <w:szCs w:val="22"/>
        </w:rPr>
        <w:t xml:space="preserve">Article 1 — Lu en entier : </w:t>
      </w:r>
      <w:hyperlink w:history="1" r:id="rIdj23txth8kbkso32bir5kl">
        <w:r>
          <w:rPr>
            <w:rFonts w:ascii="Calibri" w:cs="Calibri" w:eastAsia="Calibri" w:hAnsi="Calibri"/>
            <w:color w:val="1155CC"/>
            <w:sz w:val="22"/>
            <w:szCs w:val="22"/>
            <w:u w:val="single"/>
          </w:rPr>
          <w:t xml:space="preserve">A view from Brussels: Short of convergence, can predictability and coherence save the day?</w:t>
        </w:r>
      </w:hyperlink>
      <w:r>
        <w:rPr>
          <w:rFonts w:ascii="Calibri" w:cs="Calibri" w:eastAsia="Calibri" w:hAnsi="Calibri"/>
          <w:b w:val="false"/>
          <w:bCs w:val="false"/>
          <w:color w:val="1F2937"/>
          <w:sz w:val="22"/>
          <w:szCs w:val="22"/>
        </w:rPr>
        <w:t xml:space="preserve"> — IAPP, Isabelle Roccia (CIPP/E, Managing Director, Europe, IAPP) — 8 octobre 2026</w:t>
      </w:r>
    </w:p>
    <w:p>
      <w:pPr>
        <w:pStyle w:val="ListParagraph"/>
        <w:numPr>
          <w:ilvl w:val="0"/>
          <w:numId w:val="1"/>
        </w:numPr>
        <w:spacing w:after="80"/>
      </w:pPr>
      <w:r>
        <w:rPr>
          <w:rFonts w:ascii="Calibri" w:cs="Calibri" w:eastAsia="Calibri" w:hAnsi="Calibri"/>
          <w:b w:val="false"/>
          <w:bCs w:val="false"/>
          <w:color w:val="1F2937"/>
          <w:sz w:val="22"/>
          <w:szCs w:val="22"/>
        </w:rPr>
        <w:t xml:space="preserve">La convergence réglementaire complète en Europe reste un chantier en cours. L'auteure ne l'affirme pas, elle le demande : la prévisibilité et la cohérence de la politique numérique de l'UE pourraient-elles « compensate for the current alignment gap » ? Sa conclusion reste prudente — si l'alignement complet demeure un vœu, ces deux qualités serviraient au moins à arbitrer les stratégies de conformité.</w:t>
      </w:r>
      <w:r>
        <w:rPr>
          <w:rFonts w:ascii="Calibri" w:cs="Calibri" w:eastAsia="Calibri" w:hAnsi="Calibri"/>
          <w:b w:val="false"/>
          <w:bCs w:val="false"/>
          <w:i/>
          <w:iCs/>
          <w:color w:val="6B7280"/>
          <w:sz w:val="20"/>
          <w:szCs w:val="20"/>
        </w:rPr>
        <w:t xml:space="preserve"> [Corrigé le 09/10/2026 : la note écrivait « L'auteure soutient que la prévisibilité et la cohérence de la politique numérique de l'UE compensent ces écarts » : la page pose une question au conditionnel, elle n'affirme rien]</w:t>
      </w:r>
    </w:p>
    <w:p>
      <w:pPr>
        <w:pStyle w:val="ListParagraph"/>
        <w:numPr>
          <w:ilvl w:val="0"/>
          <w:numId w:val="1"/>
        </w:numPr>
        <w:spacing w:after="80"/>
      </w:pPr>
      <w:r>
        <w:rPr>
          <w:rFonts w:ascii="Calibri" w:cs="Calibri" w:eastAsia="Calibri" w:hAnsi="Calibri"/>
          <w:b w:val="false"/>
          <w:bCs w:val="false"/>
          <w:color w:val="1F2937"/>
          <w:sz w:val="22"/>
          <w:szCs w:val="22"/>
        </w:rPr>
        <w:t xml:space="preserve">Sur la politique numérique européenne, la page décrit une orientation constante : « The focus will be on a human-centric approach to the use of technology, harmonization of rules or digital sovereignty and the underlying ethos to policy proposals in the digital space. »</w:t>
      </w:r>
      <w:r>
        <w:rPr>
          <w:rFonts w:ascii="Calibri" w:cs="Calibri" w:eastAsia="Calibri" w:hAnsi="Calibri"/>
          <w:b w:val="false"/>
          <w:bCs w:val="false"/>
          <w:i/>
          <w:iCs/>
          <w:color w:val="6B7280"/>
          <w:sz w:val="20"/>
          <w:szCs w:val="20"/>
        </w:rPr>
        <w:t xml:space="preserve"> [Corrigé le 09/10/2026 : la citation s'arrêtait à « digital sovereignty. », point final compris, alors que la phrase de la page continue. Les mots cités étaient exacts, la fin de phrase était inventée, et aucune ellipse ne le signalait. Mesuré : la chaîne avec son point final est absente de la page, sans lui elle y est — les contrôles du dépôt normalisent la ponctuation terminale et ne pouvaient pas l'attraper]</w:t>
      </w:r>
    </w:p>
    <w:p>
      <w:pPr>
        <w:pStyle w:val="ListParagraph"/>
        <w:numPr>
          <w:ilvl w:val="0"/>
          <w:numId w:val="1"/>
        </w:numPr>
        <w:spacing w:after="80"/>
      </w:pPr>
      <w:r>
        <w:rPr>
          <w:rFonts w:ascii="Calibri" w:cs="Calibri" w:eastAsia="Calibri" w:hAnsi="Calibri"/>
          <w:b w:val="false"/>
          <w:bCs w:val="false"/>
          <w:color w:val="1F2937"/>
          <w:sz w:val="22"/>
          <w:szCs w:val="22"/>
        </w:rPr>
        <w:t xml:space="preserve">Sur les Digital Omnibus : « The various Digital Omnibus initiatives are emblematic of this trend. Their stated objective is straightforward: reduce unnecessary administrative burdens, streamline overlapping requirements and lower the cost of compliance. »</w:t>
      </w:r>
    </w:p>
    <w:p>
      <w:pPr>
        <w:pStyle w:val="ListParagraph"/>
        <w:numPr>
          <w:ilvl w:val="0"/>
          <w:numId w:val="1"/>
        </w:numPr>
        <w:spacing w:after="80"/>
      </w:pPr>
      <w:r>
        <w:rPr>
          <w:rFonts w:ascii="Calibri" w:cs="Calibri" w:eastAsia="Calibri" w:hAnsi="Calibri"/>
          <w:b w:val="false"/>
          <w:bCs w:val="false"/>
          <w:color w:val="1F2937"/>
          <w:sz w:val="22"/>
          <w:szCs w:val="22"/>
        </w:rPr>
        <w:t xml:space="preserve">Analyse : cette simplification est présentée comme une légère correction de cap sans remettre en cause les fondements de la politique numérique des vingt dernières années.</w:t>
      </w:r>
    </w:p>
    <w:p>
      <w:pPr>
        <w:pStyle w:val="ListParagraph"/>
        <w:numPr>
          <w:ilvl w:val="0"/>
          <w:numId w:val="1"/>
        </w:numPr>
        <w:spacing w:after="80"/>
      </w:pPr>
      <w:r>
        <w:rPr>
          <w:rFonts w:ascii="Calibri" w:cs="Calibri" w:eastAsia="Calibri" w:hAnsi="Calibri"/>
          <w:b w:val="false"/>
          <w:bCs w:val="false"/>
          <w:color w:val="1F2937"/>
          <w:sz w:val="22"/>
          <w:szCs w:val="22"/>
        </w:rPr>
        <w:t xml:space="preserve">Portée : article d'opinion, pas de décision officielle. ⚠️ Le corps de cet article ne mentionne pas une seule fois l'IA ni l'AI Act : sur la page, la seule occurrence de « AI Act » est le titre d'un article lié de novembre 2025, et la seule de « AI governance » la signature de pied de page de l'IAPP. Ce qu'on en tire ici est un contexte de politique numérique européenne, pas une analyse de l'AI Act.</w:t>
      </w:r>
      <w:r>
        <w:rPr>
          <w:rFonts w:ascii="Calibri" w:cs="Calibri" w:eastAsia="Calibri" w:hAnsi="Calibri"/>
          <w:b w:val="false"/>
          <w:bCs w:val="false"/>
          <w:i/>
          <w:iCs/>
          <w:color w:val="6B7280"/>
          <w:sz w:val="20"/>
          <w:szCs w:val="20"/>
        </w:rPr>
        <w:t xml:space="preserve"> [Corrigé le 09/10/2026 : réserve ajoutée dans le corps de la note, et non dans ce seul marqueur, parce que c'est là qu'un contrôle peut la lire. Rectification du 09/10/2026 au soir : j'avais écrit ici que le motif ② de l'étape 5 bis avait validé « AI Act » sur le mobilier du site. C'est faux — mesuré : le motif ② cherche le lien de l'article dans les DEUX paragraphes QUI SUIVENT son en-tête, alors que le lien est dans l'en-tête lui-même ; il n'a donc rien cherché du tout sur cette page. La cécité n'était pas le mobilier, c'était l'adresse]</w:t>
      </w:r>
    </w:p>
    <w:p>
      <w:pPr>
        <w:spacing w:after="40"/>
      </w:pPr>
      <w:r>
        <w:t xml:space="preserve"/>
      </w:r>
    </w:p>
    <w:p>
      <w:pPr>
        <w:spacing w:after="80"/>
      </w:pPr>
      <w:r>
        <w:rPr>
          <w:rFonts w:ascii="Calibri" w:cs="Calibri" w:eastAsia="Calibri" w:hAnsi="Calibri"/>
          <w:b/>
          <w:bCs/>
          <w:color w:val="1F2937"/>
          <w:sz w:val="22"/>
          <w:szCs w:val="22"/>
        </w:rPr>
        <w:t xml:space="preserve">Article 2 — MEMBER (introduction uniquement) : </w:t>
      </w:r>
      <w:hyperlink w:history="1" r:id="rIdz5zion4ooansq2mwxndda">
        <w:r>
          <w:rPr>
            <w:rFonts w:ascii="Calibri" w:cs="Calibri" w:eastAsia="Calibri" w:hAnsi="Calibri"/>
            <w:color w:val="1155CC"/>
            <w:sz w:val="22"/>
            <w:szCs w:val="22"/>
            <w:u w:val="single"/>
          </w:rPr>
          <w:t xml:space="preserve">Applying the minimization principle to AI governance</w:t>
        </w:r>
      </w:hyperlink>
      <w:r>
        <w:rPr>
          <w:rFonts w:ascii="Calibri" w:cs="Calibri" w:eastAsia="Calibri" w:hAnsi="Calibri"/>
          <w:b w:val="false"/>
          <w:bCs w:val="false"/>
          <w:color w:val="1F2937"/>
          <w:sz w:val="22"/>
          <w:szCs w:val="22"/>
        </w:rPr>
        <w:t xml:space="preserve"> — IAPP, Daniel Alfredo Zamudio Lopez (AIGP, EPMO Director, Santander Bank North America) — 7 octobre 2026</w:t>
      </w:r>
      <w:r>
        <w:rPr>
          <w:rFonts w:ascii="Calibri" w:cs="Calibri" w:eastAsia="Calibri" w:hAnsi="Calibri"/>
          <w:b w:val="false"/>
          <w:bCs w:val="false"/>
          <w:i/>
          <w:iCs/>
          <w:color w:val="6B7280"/>
          <w:sz w:val="20"/>
          <w:szCs w:val="20"/>
        </w:rPr>
        <w:t xml:space="preserve"> [Corrigé le 09/10/2026 : la note abrégeait le nom de l'auteur en « Daniel A. Zamudio Lopez » et son employeur en « Santander Bank NA » ; la page écrit « Daniel Alfredo Zamudio Lopez » et « Santander Bank North America ». Rétabli aux trois endroits où le nom figure, ainsi que « Managing Director, Europe » pour Isabelle Roccia]</w:t>
      </w:r>
    </w:p>
    <w:p>
      <w:pPr>
        <w:pStyle w:val="ListParagraph"/>
        <w:numPr>
          <w:ilvl w:val="0"/>
          <w:numId w:val="1"/>
        </w:numPr>
        <w:spacing w:after="80"/>
      </w:pPr>
      <w:r>
        <w:rPr>
          <w:rFonts w:ascii="Calibri" w:cs="Calibri" w:eastAsia="Calibri" w:hAnsi="Calibri"/>
          <w:b w:val="false"/>
          <w:bCs w:val="false"/>
          <w:color w:val="1F2937"/>
          <w:sz w:val="22"/>
          <w:szCs w:val="22"/>
        </w:rPr>
        <w:t xml:space="preserve">Propose un principe de « governance minimization » : adapter le niveau d'oversight aux risques spécifiques de chaque cas d'usage IA, plutôt qu'imposer un cadre unique.</w:t>
      </w:r>
    </w:p>
    <w:p>
      <w:pPr>
        <w:pStyle w:val="ListParagraph"/>
        <w:numPr>
          <w:ilvl w:val="0"/>
          <w:numId w:val="1"/>
        </w:numPr>
        <w:spacing w:after="80"/>
      </w:pPr>
      <w:r>
        <w:rPr>
          <w:rFonts w:ascii="Calibri" w:cs="Calibri" w:eastAsia="Calibri" w:hAnsi="Calibri"/>
          <w:b w:val="false"/>
          <w:bCs w:val="false"/>
          <w:color w:val="1F2937"/>
          <w:sz w:val="22"/>
          <w:szCs w:val="22"/>
        </w:rPr>
        <w:t xml:space="preserve">Ancrage EU AI Act : l'introduction indique littéralement que « This complexity is reflected in modern regulatory frameworks like the EU AI Act, which demands strict adherence to a specific risk taxonomy. » La distinction provider/deployer est explicitée.</w:t>
      </w:r>
    </w:p>
    <w:p>
      <w:pPr>
        <w:pStyle w:val="ListParagraph"/>
        <w:numPr>
          <w:ilvl w:val="0"/>
          <w:numId w:val="1"/>
        </w:numPr>
        <w:spacing w:after="80"/>
      </w:pPr>
      <w:r>
        <w:rPr>
          <w:rFonts w:ascii="Calibri" w:cs="Calibri" w:eastAsia="Calibri" w:hAnsi="Calibri"/>
          <w:b w:val="false"/>
          <w:bCs w:val="false"/>
          <w:color w:val="1F2937"/>
          <w:sz w:val="22"/>
          <w:szCs w:val="22"/>
        </w:rPr>
        <w:t xml:space="preserve">Exemple : les exigences de conformité d'un chatbot simple diffèrent radicalement de celles d'agents autonomes gérant des workflows sensibles.</w:t>
      </w:r>
    </w:p>
    <w:p>
      <w:pPr>
        <w:pStyle w:val="ListParagraph"/>
        <w:numPr>
          <w:ilvl w:val="0"/>
          <w:numId w:val="1"/>
        </w:numPr>
        <w:spacing w:after="80"/>
      </w:pPr>
      <w:r>
        <w:rPr>
          <w:rFonts w:ascii="Calibri" w:cs="Calibri" w:eastAsia="Calibri" w:hAnsi="Calibri"/>
          <w:b w:val="false"/>
          <w:bCs w:val="false"/>
          <w:color w:val="1F2937"/>
          <w:sz w:val="22"/>
          <w:szCs w:val="22"/>
        </w:rPr>
        <w:t xml:space="preserve">Limite : le corps de l'article est réservé aux membres IAPP. Seule l'introduction a pu être lue. Les développements pratiques ne sont pas accessibles.</w:t>
      </w:r>
    </w:p>
    <w:p>
      <w:pPr>
        <w:spacing w:after="40"/>
      </w:pPr>
      <w:r>
        <w:t xml:space="preserve"/>
      </w:r>
    </w:p>
    <w:p>
      <w:pPr>
        <w:spacing w:after="80"/>
      </w:pPr>
      <w:r>
        <w:rPr>
          <w:rFonts w:ascii="Calibri" w:cs="Calibri" w:eastAsia="Calibri" w:hAnsi="Calibri"/>
          <w:b/>
          <w:bCs/>
          <w:color w:val="1F2937"/>
          <w:sz w:val="22"/>
          <w:szCs w:val="22"/>
        </w:rPr>
        <w:t xml:space="preserve">Future of Life Institute — </w:t>
      </w:r>
      <w:hyperlink w:history="1" r:id="rIdx7c4spkxqwbmwo0n6mt25">
        <w:r>
          <w:rPr>
            <w:rFonts w:ascii="Calibri" w:cs="Calibri" w:eastAsia="Calibri" w:hAnsi="Calibri"/>
            <w:color w:val="1155CC"/>
            <w:sz w:val="22"/>
            <w:szCs w:val="22"/>
            <w:u w:val="single"/>
          </w:rPr>
          <w:t xml:space="preserve">artificialintelligenceact.eu</w:t>
        </w:r>
      </w:hyperlink>
    </w:p>
    <w:p>
      <w:pPr>
        <w:spacing w:after="80"/>
      </w:pPr>
      <w:r>
        <w:rPr>
          <w:rFonts w:ascii="Calibri" w:cs="Calibri" w:eastAsia="Calibri" w:hAnsi="Calibri"/>
          <w:b w:val="false"/>
          <w:bCs w:val="false"/>
          <w:color w:val="1F2937"/>
          <w:sz w:val="22"/>
          <w:szCs w:val="22"/>
        </w:rPr>
        <w:t xml:space="preserve">Consultée (16 208 caractères de texte après suppression des balises et du contenu script/style) — sans élément nouveau dans la fenêtre. Dernier article daté : "AI Therapy under the EU AI Act" (7 août 2026).</w:t>
      </w:r>
    </w:p>
    <w:p>
      <w:pPr>
        <w:pBdr>
          <w:bottom w:val="single" w:color="CCCCCC" w:sz="4" w:space="1"/>
        </w:pBdr>
        <w:spacing w:after="80"/>
      </w:pPr>
      <w:r>
        <w:t xml:space="preserve"/>
      </w:r>
    </w:p>
    <w:p>
      <w:pPr>
        <w:spacing w:after="100" w:before="280"/>
      </w:pPr>
      <w:r>
        <w:rPr>
          <w:rFonts w:ascii="Calibri" w:cs="Calibri" w:eastAsia="Calibri" w:hAnsi="Calibri"/>
          <w:b/>
          <w:bCs/>
          <w:color w:val="1B3A6B"/>
          <w:sz w:val="28"/>
          <w:szCs w:val="28"/>
        </w:rPr>
        <w:t xml:space="preserve">🇫🇷 Perspective française (CNIL / RGPD)</w:t>
      </w:r>
    </w:p>
    <w:p>
      <w:pPr>
        <w:spacing w:after="80"/>
      </w:pPr>
      <w:r>
        <w:rPr>
          <w:rFonts w:ascii="Calibri" w:cs="Calibri" w:eastAsia="Calibri" w:hAnsi="Calibri"/>
          <w:b/>
          <w:bCs/>
          <w:color w:val="1F2937"/>
          <w:sz w:val="22"/>
          <w:szCs w:val="22"/>
        </w:rPr>
        <w:t xml:space="preserve">CNIL — page intelligence artificielle</w:t>
      </w:r>
    </w:p>
    <w:p>
      <w:pPr>
        <w:spacing w:after="80"/>
      </w:pPr>
      <w:r>
        <w:rPr>
          <w:rFonts w:ascii="Calibri" w:cs="Calibri" w:eastAsia="Calibri" w:hAnsi="Calibri"/>
          <w:b w:val="false"/>
          <w:bCs w:val="false"/>
          <w:color w:val="1F2937"/>
          <w:sz w:val="22"/>
          <w:szCs w:val="22"/>
        </w:rPr>
        <w:t xml:space="preserve">Consultée — sans élément nouveau dans la fenêtre du 2 au 9 octobre 2026. Dernière publication : « IA : la CNIL met à jour son outil de traçabilité des modèles publiés en source ouverte » (26 août 2026).</w:t>
      </w:r>
    </w:p>
    <w:p>
      <w:pPr>
        <w:spacing w:after="40"/>
      </w:pPr>
      <w:r>
        <w:t xml:space="preserve"/>
      </w:r>
    </w:p>
    <w:p>
      <w:pPr>
        <w:spacing w:after="80"/>
      </w:pPr>
      <w:r>
        <w:rPr>
          <w:rFonts w:ascii="Calibri" w:cs="Calibri" w:eastAsia="Calibri" w:hAnsi="Calibri"/>
          <w:b/>
          <w:bCs/>
          <w:color w:val="1F2937"/>
          <w:sz w:val="22"/>
          <w:szCs w:val="22"/>
        </w:rPr>
        <w:t xml:space="preserve">CNIL — Q&amp;R sur l'entrée en vigueur du règlement IA (mise à jour du 17 août 2026)</w:t>
      </w:r>
    </w:p>
    <w:p>
      <w:pPr>
        <w:spacing w:after="80"/>
      </w:pPr>
      <w:r>
        <w:rPr>
          <w:rFonts w:ascii="Calibri" w:cs="Calibri" w:eastAsia="Calibri" w:hAnsi="Calibri"/>
          <w:b w:val="false"/>
          <w:bCs w:val="false"/>
          <w:color w:val="1F2937"/>
          <w:sz w:val="22"/>
          <w:szCs w:val="22"/>
        </w:rPr>
        <w:t xml:space="preserve">Page stable. Rappel utile pour les ESSMS : le règlement IA ne remplace pas le RGPD. Les deux cadres s'appliquent conjointement lorsque des systèmes IA traitent des données personnelles. La CNIL indique que les deux instruments abordent des notions similaires sous des angles différents (notamment transparence et documentation), ce qui facilite une conformité croisée.</w:t>
      </w:r>
    </w:p>
    <w:p>
      <w:pPr>
        <w:spacing w:after="40"/>
      </w:pPr>
      <w:r>
        <w:t xml:space="preserve"/>
      </w:r>
    </w:p>
    <w:p>
      <w:pPr>
        <w:spacing w:after="80"/>
      </w:pPr>
      <w:r>
        <w:rPr>
          <w:rFonts w:ascii="Calibri" w:cs="Calibri" w:eastAsia="Calibri" w:hAnsi="Calibri"/>
          <w:b/>
          <w:bCs/>
          <w:color w:val="1F2937"/>
          <w:sz w:val="22"/>
          <w:szCs w:val="22"/>
        </w:rPr>
        <w:t xml:space="preserve">Désignation des autorités nationales françaises compétentes IA</w:t>
      </w:r>
    </w:p>
    <w:p>
      <w:pPr>
        <w:spacing w:after="80"/>
      </w:pPr>
      <w:r>
        <w:rPr>
          <w:rFonts w:ascii="Calibri" w:cs="Calibri" w:eastAsia="Calibri" w:hAnsi="Calibri"/>
          <w:b w:val="false"/>
          <w:bCs w:val="false"/>
          <w:color w:val="1F2937"/>
          <w:sz w:val="22"/>
          <w:szCs w:val="22"/>
        </w:rPr>
        <w:t xml:space="preserve">Non vérifié à une source pendant cette exécution. Les dossiers législatifs DDADUE tentés sur assemblee-nationale.fr et senat.fr ont retourné 404. Repris du cadrage du 30/08/2026 : la désignation n'est pas encore publiée. En l'absence d'autorité nationale désignée, l'interlocuteur de fait d'un ESSMS reste la CNIL via son DPO.</w:t>
      </w:r>
    </w:p>
    <w:p>
      <w:pPr>
        <w:pBdr>
          <w:bottom w:val="single" w:color="CCCCCC" w:sz="4" w:space="1"/>
        </w:pBdr>
        <w:spacing w:after="80"/>
      </w:pPr>
      <w:r>
        <w:t xml:space="preserve"/>
      </w:r>
    </w:p>
    <w:p>
      <w:pPr>
        <w:spacing w:after="100" w:before="280"/>
      </w:pPr>
      <w:r>
        <w:rPr>
          <w:rFonts w:ascii="Calibri" w:cs="Calibri" w:eastAsia="Calibri" w:hAnsi="Calibri"/>
          <w:b/>
          <w:bCs/>
          <w:color w:val="1B3A6B"/>
          <w:sz w:val="28"/>
          <w:szCs w:val="28"/>
        </w:rPr>
        <w:t xml:space="preserve">⚠️ Impacts pour les ESSMS</w:t>
      </w:r>
    </w:p>
    <w:p>
      <w:pPr>
        <w:pStyle w:val="ListParagraph"/>
        <w:numPr>
          <w:ilvl w:val="0"/>
          <w:numId w:val="1"/>
        </w:numPr>
        <w:spacing w:after="80"/>
      </w:pPr>
      <w:r>
        <w:rPr>
          <w:rFonts w:ascii="Calibri" w:cs="Calibri" w:eastAsia="Calibri" w:hAnsi="Calibri"/>
          <w:b w:val="false"/>
          <w:bCs w:val="false"/>
          <w:color w:val="1F2937"/>
          <w:sz w:val="22"/>
          <w:szCs w:val="22"/>
        </w:rPr>
        <w:t xml:space="preserve">Position deployer, pas provider : un foyer d'hébergement qui utilise un DUI (Imago), un outil de signalement d'événements indésirables (Ageval) ou tout autre système IA tiers est en position de deployer au sens de l'EU AI Act. Les obligations du deployer (transparence envers les personnes accompagnées, évaluation des risques, documentation) sont moins lourdes que celles du provider — mais elles existent. La distinction est rappelée dans l'article IAPP du 7 octobre.</w:t>
      </w:r>
      <w:r>
        <w:rPr>
          <w:rFonts w:ascii="Calibri" w:cs="Calibri" w:eastAsia="Calibri" w:hAnsi="Calibri"/>
          <w:b w:val="false"/>
          <w:bCs w:val="false"/>
          <w:i/>
          <w:iCs/>
          <w:color w:val="6B7280"/>
          <w:sz w:val="20"/>
          <w:szCs w:val="20"/>
        </w:rPr>
        <w:t xml:space="preserve"> [Corrigé le 09/10/2026 : quantificateur ajouté, décisif pour un foyer d'hébergement et absent de la première rédaction : l'essentiel des obligations du déployeur ne porte que sur les systèmes à HAUT RISQUE, dont les règles n'entrent en application que le 2 décembre 2027 pour l'annexe III — date que cette note publie elle-même dans sa section Échéances. Le test préalable est donc : l'outil relève-t-il d'un domaine de l'annexe III ? La page Q&amp;R de la CNIL en donne la liste — biométrie, infrastructures critiques, éducation, emploi, accès aux services publics essentiels, application de la loi, immigration, administration — dont trois au moins peuvent concerner un ESSMS. D'ici là, ce qui s'applique déjà, ce sont les obligations de transparence de l'article 50, en application depuis le 2 août 2026 selon le calendrier cité]</w:t>
      </w:r>
    </w:p>
    <w:p>
      <w:pPr>
        <w:pStyle w:val="ListParagraph"/>
        <w:numPr>
          <w:ilvl w:val="0"/>
          <w:numId w:val="1"/>
        </w:numPr>
        <w:spacing w:after="80"/>
      </w:pPr>
      <w:r>
        <w:rPr>
          <w:rFonts w:ascii="Calibri" w:cs="Calibri" w:eastAsia="Calibri" w:hAnsi="Calibri"/>
          <w:b w:val="false"/>
          <w:bCs w:val="false"/>
          <w:color w:val="1F2937"/>
          <w:sz w:val="22"/>
          <w:szCs w:val="22"/>
        </w:rPr>
        <w:t xml:space="preserve">Approche proportionnée (governance minimization) : l'article du 7 octobre confirme que les exigences ne sont pas uniformes. Un outil d'aide administrative appelle un niveau d'oversight différent d'un outil d'aide à la décision sur l'accompagnement. Cette hiérarchie est cohérente avec la taxonomie de risques de l'AI Act.</w:t>
      </w:r>
    </w:p>
    <w:p>
      <w:pPr>
        <w:pStyle w:val="ListParagraph"/>
        <w:numPr>
          <w:ilvl w:val="0"/>
          <w:numId w:val="1"/>
        </w:numPr>
        <w:spacing w:after="80"/>
      </w:pPr>
      <w:r>
        <w:rPr>
          <w:rFonts w:ascii="Calibri" w:cs="Calibri" w:eastAsia="Calibri" w:hAnsi="Calibri"/>
          <w:b w:val="false"/>
          <w:bCs w:val="false"/>
          <w:color w:val="1F2937"/>
          <w:sz w:val="22"/>
          <w:szCs w:val="22"/>
        </w:rPr>
        <w:t xml:space="preserve">Simplification à venir (Digital Omnibus) : les initiatives de simplification européennes visent à réduire les charges administratives pour les déployeurs. Les lignes directrices à venir pourraient alléger certaines exigences de documentation pour les petits ESSMS. À surveiller fin 2026.</w:t>
      </w:r>
    </w:p>
    <w:p>
      <w:pPr>
        <w:pStyle w:val="ListParagraph"/>
        <w:numPr>
          <w:ilvl w:val="0"/>
          <w:numId w:val="1"/>
        </w:numPr>
        <w:spacing w:after="80"/>
      </w:pPr>
      <w:r>
        <w:rPr>
          <w:rFonts w:ascii="Calibri" w:cs="Calibri" w:eastAsia="Calibri" w:hAnsi="Calibri"/>
          <w:b w:val="false"/>
          <w:bCs w:val="false"/>
          <w:color w:val="1F2937"/>
          <w:sz w:val="22"/>
          <w:szCs w:val="22"/>
        </w:rPr>
        <w:t xml:space="preserve">Double conformité IA + RGPD : la CNIL rappelle la nécessité d'une conformité croisée. Pour un foyer d'hébergement, cela signifie que tout déploiement d'IA traitant des données personnelles des personnes accompagnées doit satisfaire simultanément aux deux règlements. Le DPO (ou la CNIL en son absence) reste l'interlocuteur de référence.</w:t>
      </w:r>
    </w:p>
    <w:p>
      <w:pPr>
        <w:pStyle w:val="ListParagraph"/>
        <w:numPr>
          <w:ilvl w:val="0"/>
          <w:numId w:val="1"/>
        </w:numPr>
        <w:spacing w:after="80"/>
      </w:pPr>
      <w:r>
        <w:rPr>
          <w:rFonts w:ascii="Calibri" w:cs="Calibri" w:eastAsia="Calibri" w:hAnsi="Calibri"/>
          <w:b w:val="false"/>
          <w:bCs w:val="false"/>
          <w:color w:val="1F2937"/>
          <w:sz w:val="22"/>
          <w:szCs w:val="22"/>
        </w:rPr>
        <w:t xml:space="preserve">Échéance 2 décembre 2026 — deux choses distinctes sur la même ligne, et une seule concerne un ESSMS : l'interdiction qui entre en application ne porte que sur les systèmes générant des hypertrucages sexuels non consentis et des contenus pédocriminels (la CNIL écrit « des contenus pédocriminels et des hypertrucages sexuels ») — un foyer d'hébergement n'en est pas le destinataire. Ce qui touche les outils de création de contenus pédagogiques ou de communication, c'est l'autre moitié de la ligne : la fin de la période transitoire de l'article 50 §2 sur le marquage des contenus synthétiques. Et le calendrier précise à qui elle s'adresse : « Transitional deadline for certain providers of AI systems, including GPAI systems, generating synthetic content, that were already placed on the market before 02 Aug 2026, to comply with Article 50(2) » — une obligation de FOURNISSEUR, pas de déployeur. À vérifier auprès de l'éditeur de l'outil, pas en interne.</w:t>
      </w:r>
      <w:r>
        <w:rPr>
          <w:rFonts w:ascii="Calibri" w:cs="Calibri" w:eastAsia="Calibri" w:hAnsi="Calibri"/>
          <w:b w:val="false"/>
          <w:bCs w:val="false"/>
          <w:i/>
          <w:iCs/>
          <w:color w:val="6B7280"/>
          <w:sz w:val="20"/>
          <w:szCs w:val="20"/>
        </w:rPr>
        <w:t xml:space="preserve"> [Corrigé le 09/10/2026 : la note écrivait « les systèmes IA qui génèrent des contenus (deepfakes, images) sont concernés par les nouvelles interdictions. Impact direct pour les ESSMS utilisant des outils de création de contenus pédagogiques ou de communication. Vérifier l'usage de tels outils avant cette date. » L'interdiction du 2 décembre ne vise que les hypertrucages sexuels non consentis et les contenus pédocriminels, et l'échéance de l'article 50 §2 pèse sur le fournisseur du système, pas sur l'établissement qui l'utilise : la consigne envoyait vérifier en interne une obligation qui n'est pas opposable à l'établissement]</w:t>
      </w:r>
    </w:p>
    <w:p>
      <w:pPr>
        <w:pBdr>
          <w:bottom w:val="single" w:color="CCCCCC" w:sz="4" w:space="1"/>
        </w:pBdr>
        <w:spacing w:after="80"/>
      </w:pPr>
      <w:r>
        <w:t xml:space="preserve"/>
      </w:r>
    </w:p>
    <w:p>
      <w:pPr>
        <w:spacing w:after="100" w:before="280"/>
      </w:pPr>
      <w:r>
        <w:rPr>
          <w:rFonts w:ascii="Calibri" w:cs="Calibri" w:eastAsia="Calibri" w:hAnsi="Calibri"/>
          <w:b/>
          <w:bCs/>
          <w:color w:val="1B3A6B"/>
          <w:sz w:val="28"/>
          <w:szCs w:val="28"/>
        </w:rPr>
        <w:t xml:space="preserve">📚 Sources du jour</w:t>
      </w:r>
    </w:p>
    <w:p>
      <w:pPr>
        <w:spacing w:after="80"/>
      </w:pPr>
      <w:r>
        <w:rPr>
          <w:rFonts w:ascii="Calibri" w:cs="Calibri" w:eastAsia="Calibri" w:hAnsi="Calibri"/>
          <w:b/>
          <w:bCs/>
          <w:color w:val="1F2937"/>
          <w:sz w:val="22"/>
          <w:szCs w:val="22"/>
        </w:rPr>
        <w:t xml:space="preserve">8 sources exploitées (✅), 2 consultées sans élément nouveau, 2 inaccessibles (⛔) — 12 sources tentées au total.</w:t>
      </w:r>
    </w:p>
    <w:p>
      <w:pPr>
        <w:spacing w:after="40"/>
      </w:pPr>
      <w:r>
        <w:t xml:space="preserve"/>
      </w:r>
    </w:p>
    <w:p>
      <w:pPr>
        <w:spacing w:after="80"/>
      </w:pPr>
      <w:r>
        <w:rPr>
          <w:rFonts w:ascii="Calibri" w:cs="Calibri" w:eastAsia="Calibri" w:hAnsi="Calibri"/>
          <w:b w:val="false"/>
          <w:bCs w:val="false"/>
          <w:color w:val="1F2937"/>
          <w:sz w:val="22"/>
          <w:szCs w:val="22"/>
        </w:rPr>
        <w:t xml:space="preserve">✅ 1. IAPP — Isabelle Roccia, 08/10/2026 : </w:t>
      </w:r>
      <w:hyperlink w:history="1" r:id="rId8ylasrdutzffwypyej-nq">
        <w:r>
          <w:rPr>
            <w:rFonts w:ascii="Calibri" w:cs="Calibri" w:eastAsia="Calibri" w:hAnsi="Calibri"/>
            <w:color w:val="1155CC"/>
            <w:sz w:val="22"/>
            <w:szCs w:val="22"/>
            <w:u w:val="single"/>
          </w:rPr>
          <w:t xml:space="preserve">A view from Brussels (IAPP)</w:t>
        </w:r>
      </w:hyperlink>
    </w:p>
    <w:p>
      <w:pPr>
        <w:spacing w:after="80"/>
      </w:pPr>
      <w:r>
        <w:rPr>
          <w:rFonts w:ascii="Calibri" w:cs="Calibri" w:eastAsia="Calibri" w:hAnsi="Calibri"/>
          <w:b w:val="false"/>
          <w:bCs w:val="false"/>
          <w:color w:val="1F2937"/>
          <w:sz w:val="22"/>
          <w:szCs w:val="22"/>
        </w:rPr>
        <w:t xml:space="preserve">✅ 2. IAPP — Daniel Alfredo Zamudio Lopez, 07/10/2026 (MEMBER — intro uniquement) : </w:t>
      </w:r>
      <w:hyperlink w:history="1" r:id="rIdfapxjuu1bxilht0dkhdnz">
        <w:r>
          <w:rPr>
            <w:rFonts w:ascii="Calibri" w:cs="Calibri" w:eastAsia="Calibri" w:hAnsi="Calibri"/>
            <w:color w:val="1155CC"/>
            <w:sz w:val="22"/>
            <w:szCs w:val="22"/>
            <w:u w:val="single"/>
          </w:rPr>
          <w:t xml:space="preserve">Applying the minimization principle to AI governance (IAPP)</w:t>
        </w:r>
      </w:hyperlink>
    </w:p>
    <w:p>
      <w:pPr>
        <w:spacing w:after="80"/>
      </w:pPr>
      <w:r>
        <w:rPr>
          <w:rFonts w:ascii="Calibri" w:cs="Calibri" w:eastAsia="Calibri" w:hAnsi="Calibri"/>
          <w:b w:val="false"/>
          <w:bCs w:val="false"/>
          <w:color w:val="1F2937"/>
          <w:sz w:val="22"/>
          <w:szCs w:val="22"/>
        </w:rPr>
        <w:t xml:space="preserve">✅ 3. AI Act Service Desk — Calendrier d'implémentation : </w:t>
      </w:r>
      <w:hyperlink w:history="1" r:id="rId0pylq7mwvsj2ctq93ht9b">
        <w:r>
          <w:rPr>
            <w:rFonts w:ascii="Calibri" w:cs="Calibri" w:eastAsia="Calibri" w:hAnsi="Calibri"/>
            <w:color w:val="1155CC"/>
            <w:sz w:val="22"/>
            <w:szCs w:val="22"/>
            <w:u w:val="single"/>
          </w:rPr>
          <w:t xml:space="preserve">Timeline AI Act (Service Desk)</w:t>
        </w:r>
      </w:hyperlink>
    </w:p>
    <w:p>
      <w:pPr>
        <w:spacing w:after="80"/>
      </w:pPr>
      <w:r>
        <w:rPr>
          <w:rFonts w:ascii="Calibri" w:cs="Calibri" w:eastAsia="Calibri" w:hAnsi="Calibri"/>
          <w:b w:val="false"/>
          <w:bCs w:val="false"/>
          <w:color w:val="1F2937"/>
          <w:sz w:val="22"/>
          <w:szCs w:val="22"/>
        </w:rPr>
        <w:t xml:space="preserve">✅ 4. CNIL — Q&amp;R sur le règlement IA (mise à jour 17/08/2026) : </w:t>
      </w:r>
      <w:hyperlink w:history="1" r:id="rIdmmec4puwx4afgqrlfnqm2">
        <w:r>
          <w:rPr>
            <w:rFonts w:ascii="Calibri" w:cs="Calibri" w:eastAsia="Calibri" w:hAnsi="Calibri"/>
            <w:color w:val="1155CC"/>
            <w:sz w:val="22"/>
            <w:szCs w:val="22"/>
            <w:u w:val="single"/>
          </w:rPr>
          <w:t xml:space="preserve">CNIL Q&amp;R AI Act</w:t>
        </w:r>
      </w:hyperlink>
    </w:p>
    <w:p>
      <w:pPr>
        <w:spacing w:after="80"/>
      </w:pPr>
      <w:r>
        <w:rPr>
          <w:rFonts w:ascii="Calibri" w:cs="Calibri" w:eastAsia="Calibri" w:hAnsi="Calibri"/>
          <w:b w:val="false"/>
          <w:bCs w:val="false"/>
          <w:color w:val="1F2937"/>
          <w:sz w:val="22"/>
          <w:szCs w:val="22"/>
        </w:rPr>
        <w:t xml:space="preserve">✅ 5. Commission européenne — liste « Latest News » du cadre réglementaire IA : </w:t>
      </w:r>
      <w:hyperlink w:history="1" r:id="rId4iqpe4xc3c3ruhapn7zx4">
        <w:r>
          <w:rPr>
            <w:rFonts w:ascii="Calibri" w:cs="Calibri" w:eastAsia="Calibri" w:hAnsi="Calibri"/>
            <w:color w:val="1155CC"/>
            <w:sz w:val="22"/>
            <w:szCs w:val="22"/>
            <w:u w:val="single"/>
          </w:rPr>
          <w:t xml:space="preserve">Cadre réglementaire IA (Commission)</w:t>
        </w:r>
      </w:hyperlink>
    </w:p>
    <w:p>
      <w:pPr>
        <w:spacing w:after="80"/>
      </w:pPr>
      <w:r>
        <w:rPr>
          <w:rFonts w:ascii="Calibri" w:cs="Calibri" w:eastAsia="Calibri" w:hAnsi="Calibri"/>
          <w:b w:val="false"/>
          <w:bCs w:val="false"/>
          <w:color w:val="1F2937"/>
          <w:sz w:val="22"/>
          <w:szCs w:val="22"/>
        </w:rPr>
        <w:t xml:space="preserve">✅ 6. Commission européenne — communiqué, réunion extraordinaire du panel scientifique (05/10 dans la liste, 09/10 sur la page) : </w:t>
      </w:r>
      <w:hyperlink w:history="1" r:id="rIdpanel0910corr">
        <w:r>
          <w:rPr>
            <w:rFonts w:ascii="Calibri" w:cs="Calibri" w:eastAsia="Calibri" w:hAnsi="Calibri"/>
            <w:color w:val="1155CC"/>
            <w:sz w:val="22"/>
            <w:szCs w:val="22"/>
            <w:u w:val="single"/>
          </w:rPr>
          <w:t xml:space="preserve">Panel scientifique — sûreté des modèles de frontière (Commission)</w:t>
        </w:r>
      </w:hyperlink>
    </w:p>
    <w:p>
      <w:pPr>
        <w:spacing w:after="80"/>
      </w:pPr>
      <w:r>
        <w:rPr>
          <w:rFonts w:ascii="Calibri" w:cs="Calibri" w:eastAsia="Calibri" w:hAnsi="Calibri"/>
          <w:b w:val="false"/>
          <w:bCs w:val="false"/>
          <w:color w:val="1F2937"/>
          <w:sz w:val="22"/>
          <w:szCs w:val="22"/>
        </w:rPr>
        <w:t xml:space="preserve">✅ 7. AI Act Service Desk — FAQ, entrées « Digital Omnibus » (18 111 car. de texte) : </w:t>
      </w:r>
      <w:hyperlink w:history="1" r:id="rIdfaq0910corr">
        <w:r>
          <w:rPr>
            <w:rFonts w:ascii="Calibri" w:cs="Calibri" w:eastAsia="Calibri" w:hAnsi="Calibri"/>
            <w:color w:val="1155CC"/>
            <w:sz w:val="22"/>
            <w:szCs w:val="22"/>
            <w:u w:val="single"/>
          </w:rPr>
          <w:t xml:space="preserve">FAQ AI Act (Service Desk)</w:t>
        </w:r>
      </w:hyperlink>
    </w:p>
    <w:p>
      <w:pPr>
        <w:spacing w:after="80"/>
      </w:pPr>
      <w:r>
        <w:rPr>
          <w:rFonts w:ascii="Calibri" w:cs="Calibri" w:eastAsia="Calibri" w:hAnsi="Calibri"/>
          <w:b w:val="false"/>
          <w:bCs w:val="false"/>
          <w:color w:val="1F2937"/>
          <w:sz w:val="22"/>
          <w:szCs w:val="22"/>
        </w:rPr>
        <w:t xml:space="preserve">✅ 8. IAPP — index des actualités, vingt derniers titres datés dont onze dans la fenêtre, deux retenus (4 187 car. de texte) : </w:t>
      </w:r>
      <w:hyperlink w:history="1" r:id="rIdiappidx0910corr">
        <w:r>
          <w:rPr>
            <w:rFonts w:ascii="Calibri" w:cs="Calibri" w:eastAsia="Calibri" w:hAnsi="Calibri"/>
            <w:color w:val="1155CC"/>
            <w:sz w:val="22"/>
            <w:szCs w:val="22"/>
            <w:u w:val="single"/>
          </w:rPr>
          <w:t xml:space="preserve">Actualités IAPP (index)</w:t>
        </w:r>
      </w:hyperlink>
    </w:p>
    <w:p>
      <w:pPr>
        <w:spacing w:after="80"/>
      </w:pPr>
      <w:r>
        <w:rPr>
          <w:rFonts w:ascii="Calibri" w:cs="Calibri" w:eastAsia="Calibri" w:hAnsi="Calibri"/>
          <w:b w:val="false"/>
          <w:bCs w:val="false"/>
          <w:i/>
          <w:iCs/>
          <w:color w:val="6B7280"/>
          <w:sz w:val="20"/>
          <w:szCs w:val="20"/>
        </w:rPr>
        <w:t xml:space="preserve"> [Corrigé le 09/10/2026 : quatre entrées ajoutées. Les trois dernières sont des pages ouvertes à la relecture du 09/10/2026 et exploitées dans le corps ; la première est digital-strategy, que la note classait « consultée, sans élément nouveau » alors que c'est sa liste qui porte le communiqué du panel scientifique — son ancienne entrée dans le groupe « consultée » a été retirée. L'index de l'IAPP n'était pas listé du tout, alors que c'est la page qui permet de dire ce que la semaine contenait d'autre]</w:t>
      </w:r>
    </w:p>
    <w:p>
      <w:pPr>
        <w:spacing w:after="40"/>
      </w:pPr>
      <w:r>
        <w:t xml:space="preserve"/>
      </w:r>
    </w:p>
    <w:p>
      <w:pPr>
        <w:spacing w:after="80"/>
      </w:pPr>
      <w:r>
        <w:rPr>
          <w:rFonts w:ascii="Calibri" w:cs="Calibri" w:eastAsia="Calibri" w:hAnsi="Calibri"/>
          <w:b w:val="false"/>
          <w:bCs w:val="false"/>
          <w:color w:val="1F2937"/>
          <w:sz w:val="22"/>
          <w:szCs w:val="22"/>
        </w:rPr>
        <w:t xml:space="preserve">Consultée, sans élément nouveau : Future of Life Institute — artificialintelligenceact.eu (16 208 car. de texte) : </w:t>
      </w:r>
      <w:hyperlink w:history="1" r:id="rIdnqrc6cuq7gh31rzpujgat">
        <w:r>
          <w:rPr>
            <w:rFonts w:ascii="Calibri" w:cs="Calibri" w:eastAsia="Calibri" w:hAnsi="Calibri"/>
            <w:color w:val="1155CC"/>
            <w:sz w:val="22"/>
            <w:szCs w:val="22"/>
            <w:u w:val="single"/>
          </w:rPr>
          <w:t xml:space="preserve">AI Act (FLI)</w:t>
        </w:r>
      </w:hyperlink>
    </w:p>
    <w:p>
      <w:pPr>
        <w:spacing w:after="80"/>
      </w:pPr>
      <w:r>
        <w:rPr>
          <w:rFonts w:ascii="Calibri" w:cs="Calibri" w:eastAsia="Calibri" w:hAnsi="Calibri"/>
          <w:b w:val="false"/>
          <w:bCs w:val="false"/>
          <w:color w:val="1F2937"/>
          <w:sz w:val="22"/>
          <w:szCs w:val="22"/>
        </w:rPr>
        <w:t xml:space="preserve">Consultée, sans élément nouveau : CNIL — Intelligence artificielle : </w:t>
      </w:r>
      <w:hyperlink w:history="1" r:id="rIddfazrb2xz1k2iihz6ereb">
        <w:r>
          <w:rPr>
            <w:rFonts w:ascii="Calibri" w:cs="Calibri" w:eastAsia="Calibri" w:hAnsi="Calibri"/>
            <w:color w:val="1155CC"/>
            <w:sz w:val="22"/>
            <w:szCs w:val="22"/>
            <w:u w:val="single"/>
          </w:rPr>
          <w:t xml:space="preserve">CNIL IA</w:t>
        </w:r>
      </w:hyperlink>
    </w:p>
    <w:p>
      <w:pPr>
        <w:spacing w:after="40"/>
      </w:pPr>
      <w:r>
        <w:t xml:space="preserve"/>
      </w:r>
    </w:p>
    <w:p>
      <w:pPr>
        <w:spacing w:after="80"/>
      </w:pPr>
      <w:r>
        <w:rPr>
          <w:rFonts w:ascii="Calibri" w:cs="Calibri" w:eastAsia="Calibri" w:hAnsi="Calibri"/>
          <w:b w:val="false"/>
          <w:bCs w:val="false"/>
          <w:color w:val="1F2937"/>
          <w:sz w:val="22"/>
          <w:szCs w:val="22"/>
        </w:rPr>
        <w:t xml:space="preserve">⛔ Conseil de l'UE — inaccessible (Cloudflare 403) : </w:t>
      </w:r>
      <w:hyperlink w:history="1" r:id="rId7uq-ez9-k7ujq2iaut6ap">
        <w:r>
          <w:rPr>
            <w:rFonts w:ascii="Calibri" w:cs="Calibri" w:eastAsia="Calibri" w:hAnsi="Calibri"/>
            <w:color w:val="1155CC"/>
            <w:sz w:val="22"/>
            <w:szCs w:val="22"/>
            <w:u w:val="single"/>
          </w:rPr>
          <w:t xml:space="preserve">Communiqués de presse (Conseil UE)</w:t>
        </w:r>
      </w:hyperlink>
    </w:p>
    <w:p>
      <w:pPr>
        <w:spacing w:after="80"/>
      </w:pPr>
      <w:r>
        <w:rPr>
          <w:rFonts w:ascii="Calibri" w:cs="Calibri" w:eastAsia="Calibri" w:hAnsi="Calibri"/>
          <w:b w:val="false"/>
          <w:bCs w:val="false"/>
          <w:color w:val="1F2937"/>
          <w:sz w:val="22"/>
          <w:szCs w:val="22"/>
        </w:rPr>
        <w:t xml:space="preserve">⛔ EUR-Lex — inaccessible (HTTP 202 Accepted, corps de 0 octet, quatre routes testées) : </w:t>
      </w:r>
      <w:hyperlink w:history="1" r:id="rIdelcbtx2ussf8--zchj6kh">
        <w:r>
          <w:rPr>
            <w:rFonts w:ascii="Calibri" w:cs="Calibri" w:eastAsia="Calibri" w:hAnsi="Calibri"/>
            <w:color w:val="1155CC"/>
            <w:sz w:val="22"/>
            <w:szCs w:val="22"/>
            <w:u w:val="single"/>
          </w:rPr>
          <w:t xml:space="preserve">EUR-Lex</w:t>
        </w:r>
      </w:hyperlink>
    </w:p>
    <w:p>
      <w:pPr>
        <w:pBdr>
          <w:bottom w:val="single" w:color="CCCCCC" w:sz="4" w:space="1"/>
        </w:pBdr>
        <w:spacing w:after="80"/>
      </w:pPr>
      <w:r>
        <w:t xml:space="preserve"/>
      </w:r>
    </w:p>
    <w:p>
      <w:pPr>
        <w:spacing w:after="100" w:before="280"/>
      </w:pPr>
      <w:r>
        <w:rPr>
          <w:rFonts w:ascii="Calibri" w:cs="Calibri" w:eastAsia="Calibri" w:hAnsi="Calibri"/>
          <w:b/>
          <w:bCs/>
          <w:color w:val="1B3A6B"/>
          <w:sz w:val="28"/>
          <w:szCs w:val="28"/>
        </w:rPr>
        <w:t xml:space="preserve">🔜 À surveiller</w:t>
      </w:r>
    </w:p>
    <w:p>
      <w:pPr>
        <w:pStyle w:val="ListParagraph"/>
        <w:numPr>
          <w:ilvl w:val="0"/>
          <w:numId w:val="1"/>
        </w:numPr>
        <w:spacing w:after="80"/>
      </w:pPr>
      <w:r>
        <w:rPr>
          <w:rFonts w:ascii="Calibri" w:cs="Calibri" w:eastAsia="Calibri" w:hAnsi="Calibri"/>
          <w:b w:val="false"/>
          <w:bCs w:val="false"/>
          <w:color w:val="1F2937"/>
          <w:sz w:val="22"/>
          <w:szCs w:val="22"/>
        </w:rPr>
        <w:t xml:space="preserve">Désignation des autorités nationales françaises (IA) : dossier DDADUE en navette législative — non vérifié lors de cette exécution. À rerouter vers legifrance.gouv.fr à la prochaine édition.</w:t>
      </w:r>
    </w:p>
    <w:p>
      <w:pPr>
        <w:pStyle w:val="ListParagraph"/>
        <w:numPr>
          <w:ilvl w:val="0"/>
          <w:numId w:val="1"/>
        </w:numPr>
        <w:spacing w:after="80"/>
      </w:pPr>
      <w:r>
        <w:rPr>
          <w:rFonts w:ascii="Calibri" w:cs="Calibri" w:eastAsia="Calibri" w:hAnsi="Calibri"/>
          <w:b w:val="false"/>
          <w:bCs w:val="false"/>
          <w:color w:val="1F2937"/>
          <w:sz w:val="22"/>
          <w:szCs w:val="22"/>
        </w:rPr>
        <w:t xml:space="preserve">2 décembre 2026 : fin de la période transitoire de l'article 50 §2 pour certains fournisseurs de systèmes générant des contenus synthétiques mis sur le marché avant le 2 août 2026, et entrée en application des interdictions visant les hypertrucages sexuels non consentis et les contenus pédocriminels. Moins de 2 mois.</w:t>
      </w:r>
      <w:r>
        <w:rPr>
          <w:rFonts w:ascii="Calibri" w:cs="Calibri" w:eastAsia="Calibri" w:hAnsi="Calibri"/>
          <w:b w:val="false"/>
          <w:bCs w:val="false"/>
          <w:i/>
          <w:iCs/>
          <w:color w:val="6B7280"/>
          <w:sz w:val="20"/>
          <w:szCs w:val="20"/>
        </w:rPr>
        <w:t xml:space="preserve"> [Corrigé le 09/10/2026 : la note écrivait « fin de la période transitoire pour les systèmes génératifs » : le calendrier la restreint à certains fournisseurs de systèmes générant des contenus synthétiques déjà sur le marché]</w:t>
      </w:r>
    </w:p>
    <w:p>
      <w:pPr>
        <w:pStyle w:val="ListParagraph"/>
        <w:numPr>
          <w:ilvl w:val="0"/>
          <w:numId w:val="1"/>
        </w:numPr>
        <w:spacing w:after="80"/>
      </w:pPr>
      <w:r>
        <w:rPr>
          <w:rFonts w:ascii="Calibri" w:cs="Calibri" w:eastAsia="Calibri" w:hAnsi="Calibri"/>
          <w:b w:val="false"/>
          <w:bCs w:val="false"/>
          <w:color w:val="1F2937"/>
          <w:sz w:val="22"/>
          <w:szCs w:val="22"/>
        </w:rPr>
        <w:t xml:space="preserve">Lignes directrices de la Commission sur les déployeurs (attendues) : suite aux initiatives Digital Omnibus, des orientations pratiques pour les petits déployeurs sont possibles d'ici fin 2026.</w:t>
      </w:r>
    </w:p>
    <w:p>
      <w:pPr>
        <w:pStyle w:val="ListParagraph"/>
        <w:numPr>
          <w:ilvl w:val="0"/>
          <w:numId w:val="1"/>
        </w:numPr>
        <w:spacing w:after="80"/>
      </w:pPr>
      <w:r>
        <w:rPr>
          <w:rFonts w:ascii="Calibri" w:cs="Calibri" w:eastAsia="Calibri" w:hAnsi="Calibri"/>
          <w:b w:val="false"/>
          <w:bCs w:val="false"/>
          <w:color w:val="1F2937"/>
          <w:sz w:val="22"/>
          <w:szCs w:val="22"/>
        </w:rPr>
        <w:t xml:space="preserve">IAPP — corps de l'article "Applying the minimization principle" (MEMBER) : si accès disponible, compléter la lecture des recommandations pratiques pour la gouvernance IA par niveau de risque.</w:t>
      </w:r>
    </w:p>
    <w:p>
      <w:pPr>
        <w:pStyle w:val="ListParagraph"/>
        <w:numPr>
          <w:ilvl w:val="0"/>
          <w:numId w:val="1"/>
        </w:numPr>
        <w:spacing w:after="80"/>
      </w:pPr>
      <w:r>
        <w:rPr>
          <w:rFonts w:ascii="Calibri" w:cs="Calibri" w:eastAsia="Calibri" w:hAnsi="Calibri"/>
          <w:b w:val="false"/>
          <w:bCs w:val="false"/>
          <w:color w:val="1F2937"/>
          <w:sz w:val="22"/>
          <w:szCs w:val="22"/>
        </w:rPr>
        <w:t xml:space="preserve">FRIA (Fundamental Rights Impact Assessment) : sujet émergent sur l'IAPP (article du 1er octobre 2026 "The FRIA is coming", hors fenêtre du jour). À couvrir lors d'une prochaine édition.</w:t>
      </w:r>
    </w:p>
    <w:p>
      <w:pPr>
        <w:spacing w:after="80"/>
      </w:pPr>
      <w:r>
        <w:rPr>
          <w:rFonts w:ascii="Calibri" w:cs="Calibri" w:eastAsia="Calibri" w:hAnsi="Calibri"/>
          <w:b w:val="false"/>
          <w:bCs w:val="false"/>
          <w:color w:val="1F2937"/>
          <w:sz w:val="22"/>
          <w:szCs w:val="22"/>
        </w:rPr>
        <w:t xml:space="preserve">Piège de date pour l'édition du 16/10 : le communiqué du panel scientifique est daté « 05 October 2026 » dans la liste de la Commission et « 09 October 2026 » sur sa propre page. La prochaine fenêtre va du 9 au 16 octobre — lu sur la liste, ce communiqué paraîtra hors fenêtre et sera classé comme déjà traité. Il est traité ici : ne pas le rejeter la semaine prochaine sur la seule foi de la date de liste.</w:t>
      </w:r>
      <w:r>
        <w:rPr>
          <w:rFonts w:ascii="Calibri" w:cs="Calibri" w:eastAsia="Calibri" w:hAnsi="Calibri"/>
          <w:b w:val="false"/>
          <w:bCs w:val="false"/>
          <w:i/>
          <w:iCs/>
          <w:color w:val="6B7280"/>
          <w:sz w:val="20"/>
          <w:szCs w:val="20"/>
        </w:rPr>
        <w:t xml:space="preserve"> [Corrigé le 09/10/2026 : point ajouté à la liste de veille]</w:t>
      </w:r>
    </w:p>
    <w:p>
      <w:pPr>
        <w:spacing w:after="80"/>
      </w:pPr>
      <w:r>
        <w:rPr>
          <w:rFonts w:ascii="Calibri" w:cs="Calibri" w:eastAsia="Calibri" w:hAnsi="Calibri"/>
          <w:b/>
          <w:bCs/>
          <w:color w:val="1F2937"/>
          <w:sz w:val="24"/>
          <w:szCs w:val="24"/>
        </w:rPr>
        <w:t xml:space="preserve">📝 Journal des corrections</w:t>
      </w:r>
    </w:p>
    <w:p>
      <w:pPr>
        <w:spacing w:after="80"/>
      </w:pPr>
      <w:r>
        <w:rPr>
          <w:rFonts w:ascii="Calibri" w:cs="Calibri" w:eastAsia="Calibri" w:hAnsi="Calibri"/>
          <w:b w:val="false"/>
          <w:bCs w:val="false"/>
          <w:color w:val="6B7280"/>
          <w:sz w:val="20"/>
          <w:szCs w:val="20"/>
        </w:rPr>
        <w:t xml:space="preserve">Corrections du 09/10/2026, après relecture complète du document et réouverture de ses pages. Le texte d'origine est conservé ici ; les corrections sont signalées dans le corps par un marqueur gris daté. Vingt points.</w:t>
      </w:r>
    </w:p>
    <w:p>
      <w:pPr>
        <w:spacing w:after="80"/>
      </w:pPr>
      <w:r>
        <w:rPr>
          <w:rFonts w:ascii="Calibri" w:cs="Calibri" w:eastAsia="Calibri" w:hAnsi="Calibri"/>
          <w:b/>
          <w:bCs/>
          <w:color w:val="1F2937"/>
          <w:sz w:val="20"/>
          <w:szCs w:val="20"/>
        </w:rPr>
        <w:t xml:space="preserve">Niveau d'alerte — </w:t>
      </w:r>
      <w:r>
        <w:rPr>
          <w:rFonts w:ascii="Calibri" w:cs="Calibri" w:eastAsia="Calibri" w:hAnsi="Calibri"/>
          <w:b w:val="false"/>
          <w:bCs w:val="false"/>
          <w:color w:val="1F2937"/>
          <w:sz w:val="20"/>
          <w:szCs w:val="20"/>
        </w:rPr>
        <w:t xml:space="preserve">« 🟢 Niveau d'alerte : VERT — Aucun élément critique. Semaine analytique sans publication officielle nouvelle. » → 🟡 À SURVEILLER.</w:t>
      </w:r>
    </w:p>
    <w:p>
      <w:pPr>
        <w:spacing w:after="80"/>
      </w:pPr>
      <w:r>
        <w:rPr>
          <w:rFonts w:ascii="Calibri" w:cs="Calibri" w:eastAsia="Calibri" w:hAnsi="Calibri"/>
          <w:b/>
          <w:bCs/>
          <w:color w:val="1F2937"/>
          <w:sz w:val="20"/>
          <w:szCs w:val="20"/>
        </w:rPr>
        <w:t xml:space="preserve">Décompte des sources — </w:t>
      </w:r>
      <w:r>
        <w:rPr>
          <w:rFonts w:ascii="Calibri" w:cs="Calibri" w:eastAsia="Calibri" w:hAnsi="Calibri"/>
          <w:b w:val="false"/>
          <w:bCs w:val="false"/>
          <w:color w:val="1F2937"/>
          <w:sz w:val="20"/>
          <w:szCs w:val="20"/>
        </w:rPr>
        <w:t xml:space="preserve">« 4 sources exploitées (✅), 3 consultées sans élément nouveau, 2 inaccessibles (⛔) — sur 9 tentées » → 8 / 2 / 2 sur 12, en en-tête comme dans la rubrique Sources.</w:t>
      </w:r>
    </w:p>
    <w:p>
      <w:pPr>
        <w:spacing w:after="80"/>
      </w:pPr>
      <w:r>
        <w:rPr>
          <w:rFonts w:ascii="Calibri" w:cs="Calibri" w:eastAsia="Calibri" w:hAnsi="Calibri"/>
          <w:b/>
          <w:bCs/>
          <w:color w:val="1F2937"/>
          <w:sz w:val="20"/>
          <w:szCs w:val="20"/>
        </w:rPr>
        <w:t xml:space="preserve">En bref — Roccia — </w:t>
      </w:r>
      <w:r>
        <w:rPr>
          <w:rFonts w:ascii="Calibri" w:cs="Calibri" w:eastAsia="Calibri" w:hAnsi="Calibri"/>
          <w:b w:val="false"/>
          <w:bCs w:val="false"/>
          <w:color w:val="1F2937"/>
          <w:sz w:val="20"/>
          <w:szCs w:val="20"/>
        </w:rPr>
        <w:t xml:space="preserve">« la prévisibilité et la cohérence de la politique européenne (dont les initiatives Digital Omnibus) aident les organisations à naviguer leurs obligations de conformité IA. » → conditionnel, et sans « conformité IA » : l'article n'écrit pas IA.</w:t>
      </w:r>
    </w:p>
    <w:p>
      <w:pPr>
        <w:spacing w:after="80"/>
      </w:pPr>
      <w:r>
        <w:rPr>
          <w:rFonts w:ascii="Calibri" w:cs="Calibri" w:eastAsia="Calibri" w:hAnsi="Calibri"/>
          <w:b/>
          <w:bCs/>
          <w:color w:val="1F2937"/>
          <w:sz w:val="20"/>
          <w:szCs w:val="20"/>
        </w:rPr>
        <w:t xml:space="preserve">Semaine institutionnelle — </w:t>
      </w:r>
      <w:r>
        <w:rPr>
          <w:rFonts w:ascii="Calibri" w:cs="Calibri" w:eastAsia="Calibri" w:hAnsi="Calibri"/>
          <w:b w:val="false"/>
          <w:bCs w:val="false"/>
          <w:color w:val="1F2937"/>
          <w:sz w:val="20"/>
          <w:szCs w:val="20"/>
        </w:rPr>
        <w:t xml:space="preserve">« Semaine institutionnelle creuse : aucune publication nouvelle de la Commission européenne, du Conseil UE, de la CNIL ou du Future of Life Institute dans la fenêtre du 2 au 9 octobre 2026. » → la Commission a publié ; le Conseil, la CNIL et le Future of Life Institute, non.</w:t>
      </w:r>
    </w:p>
    <w:p>
      <w:pPr>
        <w:spacing w:after="80"/>
      </w:pPr>
      <w:r>
        <w:rPr>
          <w:rFonts w:ascii="Calibri" w:cs="Calibri" w:eastAsia="Calibri" w:hAnsi="Calibri"/>
          <w:b/>
          <w:bCs/>
          <w:color w:val="1F2937"/>
          <w:sz w:val="20"/>
          <w:szCs w:val="20"/>
        </w:rPr>
        <w:t xml:space="preserve">Ligne de source des échéances — </w:t>
      </w:r>
      <w:r>
        <w:rPr>
          <w:rFonts w:ascii="Calibri" w:cs="Calibri" w:eastAsia="Calibri" w:hAnsi="Calibri"/>
          <w:b w:val="false"/>
          <w:bCs w:val="false"/>
          <w:color w:val="1F2937"/>
          <w:sz w:val="20"/>
          <w:szCs w:val="20"/>
        </w:rPr>
        <w:t xml:space="preserve">« … introduites par le Digital Omnibus on AI (règlement (UE) 2026/1744). » → la mention du numéro est retirée de cette phrase, la page citée ne le portant pas.</w:t>
      </w:r>
    </w:p>
    <w:p>
      <w:pPr>
        <w:spacing w:after="80"/>
      </w:pPr>
      <w:r>
        <w:rPr>
          <w:rFonts w:ascii="Calibri" w:cs="Calibri" w:eastAsia="Calibri" w:hAnsi="Calibri"/>
          <w:b/>
          <w:bCs/>
          <w:color w:val="1F2937"/>
          <w:sz w:val="20"/>
          <w:szCs w:val="20"/>
        </w:rPr>
        <w:t xml:space="preserve">Échéances — ligne du 2 décembre 2026 — </w:t>
      </w:r>
      <w:r>
        <w:rPr>
          <w:rFonts w:ascii="Calibri" w:cs="Calibri" w:eastAsia="Calibri" w:hAnsi="Calibri"/>
          <w:b w:val="false"/>
          <w:bCs w:val="false"/>
          <w:color w:val="1F2937"/>
          <w:sz w:val="20"/>
          <w:szCs w:val="20"/>
        </w:rPr>
        <w:t xml:space="preserve">« Fin de la période transitoire de l'art. 50 §2 pour les systèmes génératifs mis sur le marché avant le 2 août 2026. » → certains fournisseurs de systèmes générant des contenus synthétiques, comme le dit le calendrier. Même généralisation que dans la section À surveiller, corrigée au même titre.</w:t>
      </w:r>
    </w:p>
    <w:p>
      <w:pPr>
        <w:spacing w:after="80"/>
      </w:pPr>
      <w:r>
        <w:rPr>
          <w:rFonts w:ascii="Calibri" w:cs="Calibri" w:eastAsia="Calibri" w:hAnsi="Calibri"/>
          <w:b/>
          <w:bCs/>
          <w:color w:val="1F2937"/>
          <w:sz w:val="20"/>
          <w:szCs w:val="20"/>
        </w:rPr>
        <w:t xml:space="preserve">Références législatives — </w:t>
      </w:r>
      <w:r>
        <w:rPr>
          <w:rFonts w:ascii="Calibri" w:cs="Calibri" w:eastAsia="Calibri" w:hAnsi="Calibri"/>
          <w:b w:val="false"/>
          <w:bCs w:val="false"/>
          <w:color w:val="1F2937"/>
          <w:sz w:val="20"/>
          <w:szCs w:val="20"/>
        </w:rPr>
        <w:t xml:space="preserve">« héritées du cadrage du 30/08/2026, non vérifiées à EUR-Lex lors de cette exécution — EUR-Lex inaccessible, retour vide … Le CELEX 32026R1744 répond 202 (redirection) en headless. » → vérifiées sur la page Q&amp;R de la CNIL, qui porte les deux dates et l'identifiant OJ:L_202601744 ; date d'acte du 8 juillet 2026 rétablie avec sa provenance ; 202 requalifié en Accepted.</w:t>
      </w:r>
    </w:p>
    <w:p>
      <w:pPr>
        <w:spacing w:after="80"/>
      </w:pPr>
      <w:r>
        <w:rPr>
          <w:rFonts w:ascii="Calibri" w:cs="Calibri" w:eastAsia="Calibri" w:hAnsi="Calibri"/>
          <w:b/>
          <w:bCs/>
          <w:color w:val="1F2937"/>
          <w:sz w:val="20"/>
          <w:szCs w:val="20"/>
        </w:rPr>
        <w:t xml:space="preserve">Commission européenne — </w:t>
      </w:r>
      <w:r>
        <w:rPr>
          <w:rFonts w:ascii="Calibri" w:cs="Calibri" w:eastAsia="Calibri" w:hAnsi="Calibri"/>
          <w:b w:val="false"/>
          <w:bCs w:val="false"/>
          <w:color w:val="1F2937"/>
          <w:sz w:val="20"/>
          <w:szCs w:val="20"/>
        </w:rPr>
        <w:t xml:space="preserve">« Consultée — sans élément nouveau dans la fenêtre du 2 au 9 octobre 2026. Les dernières actualités indexées sur cette page portaient sur le lancement de l'EDIC Agri-Food (1er octobre) et l'Eurobaromètre sur les cybermenaces (30 septembre) … » → le communiqué du 5/9 octobre sur le panel scientifique est repris, avec sa réserve de date.</w:t>
      </w:r>
    </w:p>
    <w:p>
      <w:pPr>
        <w:spacing w:after="80"/>
      </w:pPr>
      <w:r>
        <w:rPr>
          <w:rFonts w:ascii="Calibri" w:cs="Calibri" w:eastAsia="Calibri" w:hAnsi="Calibri"/>
          <w:b/>
          <w:bCs/>
          <w:color w:val="1F2937"/>
          <w:sz w:val="20"/>
          <w:szCs w:val="20"/>
        </w:rPr>
        <w:t xml:space="preserve">AI Act Service Desk — </w:t>
      </w:r>
      <w:r>
        <w:rPr>
          <w:rFonts w:ascii="Calibri" w:cs="Calibri" w:eastAsia="Calibri" w:hAnsi="Calibri"/>
          <w:b w:val="false"/>
          <w:bCs w:val="false"/>
          <w:color w:val="1F2937"/>
          <w:sz w:val="20"/>
          <w:szCs w:val="20"/>
        </w:rPr>
        <w:t xml:space="preserve">la FAQ du site, vers laquelle la page du calendrier renvoie, n'avait pas été ouverte : elle est ouverte, citée et listée.</w:t>
      </w:r>
    </w:p>
    <w:p>
      <w:pPr>
        <w:spacing w:after="80"/>
      </w:pPr>
      <w:r>
        <w:rPr>
          <w:rFonts w:ascii="Calibri" w:cs="Calibri" w:eastAsia="Calibri" w:hAnsi="Calibri"/>
          <w:b/>
          <w:bCs/>
          <w:color w:val="1F2937"/>
          <w:sz w:val="20"/>
          <w:szCs w:val="20"/>
        </w:rPr>
        <w:t xml:space="preserve">EUR-Lex — </w:t>
      </w:r>
      <w:r>
        <w:rPr>
          <w:rFonts w:ascii="Calibri" w:cs="Calibri" w:eastAsia="Calibri" w:hAnsi="Calibri"/>
          <w:b w:val="false"/>
          <w:bCs w:val="false"/>
          <w:color w:val="1F2937"/>
          <w:sz w:val="20"/>
          <w:szCs w:val="20"/>
        </w:rPr>
        <w:t xml:space="preserve">« retourne un contenu vide (SPA JavaScript côté client) » → corps de 0 octet, HTTP 202 (Accepted), quatre routes testées.</w:t>
      </w:r>
    </w:p>
    <w:p>
      <w:pPr>
        <w:spacing w:after="80"/>
      </w:pPr>
      <w:r>
        <w:rPr>
          <w:rFonts w:ascii="Calibri" w:cs="Calibri" w:eastAsia="Calibri" w:hAnsi="Calibri"/>
          <w:b/>
          <w:bCs/>
          <w:color w:val="1F2937"/>
          <w:sz w:val="20"/>
          <w:szCs w:val="20"/>
        </w:rPr>
        <w:t xml:space="preserve">Résumé de l'article 1 — </w:t>
      </w:r>
      <w:r>
        <w:rPr>
          <w:rFonts w:ascii="Calibri" w:cs="Calibri" w:eastAsia="Calibri" w:hAnsi="Calibri"/>
          <w:b w:val="false"/>
          <w:bCs w:val="false"/>
          <w:color w:val="1F2937"/>
          <w:sz w:val="20"/>
          <w:szCs w:val="20"/>
        </w:rPr>
        <w:t xml:space="preserve">« L'auteure soutient que la prévisibilité et la cohérence de la politique numérique de l'UE compensent ces écarts. » → l'autrice pose la question au conditionnel.</w:t>
      </w:r>
    </w:p>
    <w:p>
      <w:pPr>
        <w:spacing w:after="80"/>
      </w:pPr>
      <w:r>
        <w:rPr>
          <w:rFonts w:ascii="Calibri" w:cs="Calibri" w:eastAsia="Calibri" w:hAnsi="Calibri"/>
          <w:b/>
          <w:bCs/>
          <w:color w:val="1F2937"/>
          <w:sz w:val="20"/>
          <w:szCs w:val="20"/>
        </w:rPr>
        <w:t xml:space="preserve">Citation de l'article 1 — </w:t>
      </w:r>
      <w:r>
        <w:rPr>
          <w:rFonts w:ascii="Calibri" w:cs="Calibri" w:eastAsia="Calibri" w:hAnsi="Calibri"/>
          <w:b w:val="false"/>
          <w:bCs w:val="false"/>
          <w:color w:val="1F2937"/>
          <w:sz w:val="20"/>
          <w:szCs w:val="20"/>
        </w:rPr>
        <w:t xml:space="preserve">« … harmonization of rules or digital sovereignty. » → « … harmonization of rules or digital sovereignty and the underlying ethos to policy proposals in the digital space. » : la phrase de la page continue, le point final était inventé.</w:t>
      </w:r>
    </w:p>
    <w:p>
      <w:pPr>
        <w:spacing w:after="80"/>
      </w:pPr>
      <w:r>
        <w:rPr>
          <w:rFonts w:ascii="Calibri" w:cs="Calibri" w:eastAsia="Calibri" w:hAnsi="Calibri"/>
          <w:b/>
          <w:bCs/>
          <w:color w:val="1F2937"/>
          <w:sz w:val="20"/>
          <w:szCs w:val="20"/>
        </w:rPr>
        <w:t xml:space="preserve">Portée de l'article 1 — </w:t>
      </w:r>
      <w:r>
        <w:rPr>
          <w:rFonts w:ascii="Calibri" w:cs="Calibri" w:eastAsia="Calibri" w:hAnsi="Calibri"/>
          <w:b w:val="false"/>
          <w:bCs w:val="false"/>
          <w:color w:val="1F2937"/>
          <w:sz w:val="20"/>
          <w:szCs w:val="20"/>
        </w:rPr>
        <w:t xml:space="preserve">réserve ajoutée : le corps de l'article ne mentionne ni l'IA ni l'AI Act.</w:t>
      </w:r>
    </w:p>
    <w:p>
      <w:pPr>
        <w:spacing w:after="80"/>
      </w:pPr>
      <w:r>
        <w:rPr>
          <w:rFonts w:ascii="Calibri" w:cs="Calibri" w:eastAsia="Calibri" w:hAnsi="Calibri"/>
          <w:b/>
          <w:bCs/>
          <w:color w:val="1F2937"/>
          <w:sz w:val="20"/>
          <w:szCs w:val="20"/>
        </w:rPr>
        <w:t xml:space="preserve">Noms propres — </w:t>
      </w:r>
      <w:r>
        <w:rPr>
          <w:rFonts w:ascii="Calibri" w:cs="Calibri" w:eastAsia="Calibri" w:hAnsi="Calibri"/>
          <w:b w:val="false"/>
          <w:bCs w:val="false"/>
          <w:color w:val="1F2937"/>
          <w:sz w:val="20"/>
          <w:szCs w:val="20"/>
        </w:rPr>
        <w:t xml:space="preserve">« Daniel A. Zamudio Lopez » → « Daniel Alfredo Zamudio Lopez » (trois occurrences) ; « Santander Bank NA » → « Santander Bank North America » ; « Managing Director Europe » → « Managing Director, Europe ».</w:t>
      </w:r>
    </w:p>
    <w:p>
      <w:pPr>
        <w:spacing w:after="80"/>
      </w:pPr>
      <w:r>
        <w:rPr>
          <w:rFonts w:ascii="Calibri" w:cs="Calibri" w:eastAsia="Calibri" w:hAnsi="Calibri"/>
          <w:b/>
          <w:bCs/>
          <w:color w:val="1F2937"/>
          <w:sz w:val="20"/>
          <w:szCs w:val="20"/>
        </w:rPr>
        <w:t xml:space="preserve">Impacts ESSMS — déployeur — </w:t>
      </w:r>
      <w:r>
        <w:rPr>
          <w:rFonts w:ascii="Calibri" w:cs="Calibri" w:eastAsia="Calibri" w:hAnsi="Calibri"/>
          <w:b w:val="false"/>
          <w:bCs w:val="false"/>
          <w:color w:val="1F2937"/>
          <w:sz w:val="20"/>
          <w:szCs w:val="20"/>
        </w:rPr>
        <w:t xml:space="preserve">quantificateur ajouté : l'essentiel des obligations du déployeur ne porte que sur le haut risque, applicable au 2 décembre 2027 pour l'annexe III.</w:t>
      </w:r>
    </w:p>
    <w:p>
      <w:pPr>
        <w:spacing w:after="80"/>
      </w:pPr>
      <w:r>
        <w:rPr>
          <w:rFonts w:ascii="Calibri" w:cs="Calibri" w:eastAsia="Calibri" w:hAnsi="Calibri"/>
          <w:b/>
          <w:bCs/>
          <w:color w:val="1F2937"/>
          <w:sz w:val="20"/>
          <w:szCs w:val="20"/>
        </w:rPr>
        <w:t xml:space="preserve">Impacts ESSMS — 2 décembre 2026 — </w:t>
      </w:r>
      <w:r>
        <w:rPr>
          <w:rFonts w:ascii="Calibri" w:cs="Calibri" w:eastAsia="Calibri" w:hAnsi="Calibri"/>
          <w:b w:val="false"/>
          <w:bCs w:val="false"/>
          <w:color w:val="1F2937"/>
          <w:sz w:val="20"/>
          <w:szCs w:val="20"/>
        </w:rPr>
        <w:t xml:space="preserve">« les systèmes IA qui génèrent des contenus (deepfakes, images) sont concernés par les nouvelles interdictions. Impact direct pour les ESSMS … Vérifier l'usage de tels outils avant cette date. » → l'interdiction ne vise que les hypertrucages sexuels non consentis et les contenus pédocriminels ; l'échéance de l'article 50 §2 pèse sur le fournisseur.</w:t>
      </w:r>
    </w:p>
    <w:p>
      <w:pPr>
        <w:spacing w:after="80"/>
      </w:pPr>
      <w:r>
        <w:rPr>
          <w:rFonts w:ascii="Calibri" w:cs="Calibri" w:eastAsia="Calibri" w:hAnsi="Calibri"/>
          <w:b/>
          <w:bCs/>
          <w:color w:val="1F2937"/>
          <w:sz w:val="20"/>
          <w:szCs w:val="20"/>
        </w:rPr>
        <w:t xml:space="preserve">À surveiller — 2 décembre 2026 — </w:t>
      </w:r>
      <w:r>
        <w:rPr>
          <w:rFonts w:ascii="Calibri" w:cs="Calibri" w:eastAsia="Calibri" w:hAnsi="Calibri"/>
          <w:b w:val="false"/>
          <w:bCs w:val="false"/>
          <w:color w:val="1F2937"/>
          <w:sz w:val="20"/>
          <w:szCs w:val="20"/>
        </w:rPr>
        <w:t xml:space="preserve">« fin de la période transitoire pour les systèmes génératifs » → certains fournisseurs de systèmes générant des contenus synthétiques déjà sur le marché.</w:t>
      </w:r>
    </w:p>
    <w:p>
      <w:pPr>
        <w:spacing w:after="80"/>
      </w:pPr>
      <w:r>
        <w:rPr>
          <w:rFonts w:ascii="Calibri" w:cs="Calibri" w:eastAsia="Calibri" w:hAnsi="Calibri"/>
          <w:b/>
          <w:bCs/>
          <w:color w:val="1F2937"/>
          <w:sz w:val="20"/>
          <w:szCs w:val="20"/>
        </w:rPr>
        <w:t xml:space="preserve">À surveiller — ajout — </w:t>
      </w:r>
      <w:r>
        <w:rPr>
          <w:rFonts w:ascii="Calibri" w:cs="Calibri" w:eastAsia="Calibri" w:hAnsi="Calibri"/>
          <w:b w:val="false"/>
          <w:bCs w:val="false"/>
          <w:color w:val="1F2937"/>
          <w:sz w:val="20"/>
          <w:szCs w:val="20"/>
        </w:rPr>
        <w:t xml:space="preserve">piège de date du communiqué du panel scientifique pour la fenêtre du 16/10.</w:t>
      </w:r>
    </w:p>
    <w:p>
      <w:pPr>
        <w:spacing w:after="80"/>
      </w:pPr>
      <w:r>
        <w:rPr>
          <w:rFonts w:ascii="Calibri" w:cs="Calibri" w:eastAsia="Calibri" w:hAnsi="Calibri"/>
          <w:b/>
          <w:bCs/>
          <w:color w:val="1F2937"/>
          <w:sz w:val="20"/>
          <w:szCs w:val="20"/>
        </w:rPr>
        <w:t xml:space="preserve">Références législatives — corroboration — </w:t>
      </w:r>
      <w:r>
        <w:rPr>
          <w:rFonts w:ascii="Calibri" w:cs="Calibri" w:eastAsia="Calibri" w:hAnsi="Calibri"/>
          <w:b w:val="false"/>
          <w:bCs w:val="false"/>
          <w:color w:val="1F2937"/>
          <w:sz w:val="20"/>
          <w:szCs w:val="20"/>
        </w:rPr>
        <w:t xml:space="preserve">la page du cadre réglementaire IA de la Commission, listée elle aussi, porte la chronologie en clair (proposition adoptée le 19 novembre 2025, accord politique le 7 mai 2026, entrée en vigueur le 27 juillet 2026) et lie le texte final sous le même identifiant OJ:L_202601744. L'identifiant était donc dans un href de DEUX pages listées, et aucun contrôle du dépôt ne lit les href.</w:t>
      </w:r>
    </w:p>
    <w:p>
      <w:pPr>
        <w:spacing w:after="80"/>
      </w:pPr>
      <w:r>
        <w:rPr>
          <w:rFonts w:ascii="Calibri" w:cs="Calibri" w:eastAsia="Calibri" w:hAnsi="Calibri"/>
          <w:b/>
          <w:bCs/>
          <w:color w:val="1F2937"/>
          <w:sz w:val="20"/>
          <w:szCs w:val="20"/>
        </w:rPr>
        <w:t xml:space="preserve">Portée de l'article 1 — rectification du soir — </w:t>
      </w:r>
      <w:r>
        <w:rPr>
          <w:rFonts w:ascii="Calibri" w:cs="Calibri" w:eastAsia="Calibri" w:hAnsi="Calibri"/>
          <w:b w:val="false"/>
          <w:bCs w:val="false"/>
          <w:color w:val="1F2937"/>
          <w:sz w:val="20"/>
          <w:szCs w:val="20"/>
        </w:rPr>
        <w:t xml:space="preserve">la réserve, d'abord placée dans le seul marqueur, est passée dans le corps de la note. Et j'y avais écrit que le motif ② de l'étape 5 bis avait validé « AI Act » sur le mobilier du site : c'est faux, mesuré le 09/10/2026 au soir — le motif ② cherche le lien de l'article dans les deux paragraphes QUI SUIVENT son en-tête, quand le lien est dans l'en-tête ; il est donc resté inerte et n'a rien cherché.</w:t>
      </w:r>
    </w:p>
    <w:p>
      <w:pPr>
        <w:spacing w:after="80"/>
      </w:pPr>
      <w:r>
        <w:rPr>
          <w:rFonts w:ascii="Times New Roman" w:cs="Times New Roman" w:eastAsia="Times New Roman" w:hAnsi="Times New Roman"/>
          <w:color w:val="1F2937"/>
          <w:sz w:val="22"/>
          <w:szCs w:val="22"/>
        </w:rPr>
        <w:t xml:space="preserve">Correction apportée le 12/10/2026 : une citation exacte au 9 octobre l'a cessé parce que la page a été mise à jour. Les libellés d'origine sont conservés ci-dessous.</w:t>
      </w:r>
    </w:p>
    <w:p>
      <w:pPr>
        <w:spacing w:after="80"/>
      </w:pPr>
      <w:r>
        <w:rPr>
          <w:rFonts w:ascii="Times New Roman" w:cs="Times New Roman" w:eastAsia="Times New Roman" w:hAnsi="Times New Roman"/>
          <w:color w:val="1F2937"/>
          <w:sz w:val="20"/>
          <w:szCs w:val="20"/>
        </w:rPr>
        <w:t xml:space="preserve">• § Sources, digital-strategy — « Publication 09 October 2026 », « Last update 9 October 2026 » et « Today, the Commission holds a special meeting of the Scientific Panel » étaient cités entre guillemets. Au 12/10/2026 la page porte « Last update 12 October 2026 » et sa phrase d'ouverture a perdu « Today » ; la page du communiqué n'est par ailleurs pas listée par la note, donc aucune de ces citations n'était vérifiable par les contrôles. Les champs périssables passent hors guillemets, avec leur date de relevé.</w:t>
      </w:r>
    </w:p>
    <w:p>
      <w:pPr>
        <w:spacing w:after="80"/>
      </w:pPr>
      <w:r>
        <w:rPr>
          <w:rFonts w:ascii="Times New Roman" w:cs="Times New Roman" w:eastAsia="Times New Roman" w:hAnsi="Times New Roman"/>
          <w:color w:val="1F2937"/>
          <w:sz w:val="20"/>
          <w:szCs w:val="20"/>
        </w:rPr>
        <w:t xml:space="preserve">• 📌 Leçon de forme : le champ « Last update » d'une page institutionnelle n'est pas citable entre guillemets — il change par construction. Une date de publication, elle, tient.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l0gxkat1wptthzde5ke-a" Type="http://schemas.openxmlformats.org/officeDocument/2006/relationships/hyperlink" Target="https://ai-act-service-desk.ec.europa.eu/en/ai-act/timeline/timeline-implementation-eu-ai-act" TargetMode="External"/><Relationship Id="rIdnose_7ihgsakoxixomedb" Type="http://schemas.openxmlformats.org/officeDocument/2006/relationships/hyperlink" Target="https://digital-strategy.ec.europa.eu/en/policies/regulatory-framework-ai" TargetMode="External"/><Relationship Id="rIdj23txth8kbkso32bir5kl" Type="http://schemas.openxmlformats.org/officeDocument/2006/relationships/hyperlink" Target="https://iapp.org/news/a/a-view-from-brussels-short-of-convergence-can-predictability-and-coherence-save-the-day" TargetMode="External"/><Relationship Id="rIdz5zion4ooansq2mwxndda" Type="http://schemas.openxmlformats.org/officeDocument/2006/relationships/hyperlink" Target="https://iapp.org/news/a/applying-the-minimization-principle-to-ai-governance" TargetMode="External"/><Relationship Id="rIdx7c4spkxqwbmwo0n6mt25" Type="http://schemas.openxmlformats.org/officeDocument/2006/relationships/hyperlink" Target="https://artificialintelligenceact.eu" TargetMode="External"/><Relationship Id="rId8ylasrdutzffwypyej-nq" Type="http://schemas.openxmlformats.org/officeDocument/2006/relationships/hyperlink" Target="https://iapp.org/news/a/a-view-from-brussels-short-of-convergence-can-predictability-and-coherence-save-the-day" TargetMode="External"/><Relationship Id="rIdfapxjuu1bxilht0dkhdnz" Type="http://schemas.openxmlformats.org/officeDocument/2006/relationships/hyperlink" Target="https://iapp.org/news/a/applying-the-minimization-principle-to-ai-governance" TargetMode="External"/><Relationship Id="rId0pylq7mwvsj2ctq93ht9b" Type="http://schemas.openxmlformats.org/officeDocument/2006/relationships/hyperlink" Target="https://ai-act-service-desk.ec.europa.eu/en/ai-act/timeline/timeline-implementation-eu-ai-act" TargetMode="External"/><Relationship Id="rIdmmec4puwx4afgqrlfnqm2" Type="http://schemas.openxmlformats.org/officeDocument/2006/relationships/hyperlink" Target="https://www.cnil.fr/fr/entree-en-vigueur-du-reglement-europeen-sur-lia-les-premieres-questions-reponses-de-la-cnil" TargetMode="External"/><Relationship Id="rId4iqpe4xc3c3ruhapn7zx4" Type="http://schemas.openxmlformats.org/officeDocument/2006/relationships/hyperlink" Target="https://digital-strategy.ec.europa.eu/en/policies/regulatory-framework-ai" TargetMode="External"/><Relationship Id="rIdnqrc6cuq7gh31rzpujgat" Type="http://schemas.openxmlformats.org/officeDocument/2006/relationships/hyperlink" Target="https://artificialintelligenceact.eu" TargetMode="External"/><Relationship Id="rIddfazrb2xz1k2iihz6ereb" Type="http://schemas.openxmlformats.org/officeDocument/2006/relationships/hyperlink" Target="https://www.cnil.fr/fr/intelligence-artificielle" TargetMode="External"/><Relationship Id="rId7uq-ez9-k7ujq2iaut6ap" Type="http://schemas.openxmlformats.org/officeDocument/2006/relationships/hyperlink" Target="https://www.consilium.europa.eu/en/press/press-releases/" TargetMode="External"/><Relationship Id="rIdelcbtx2ussf8--zchj6kh" Type="http://schemas.openxmlformats.org/officeDocument/2006/relationships/hyperlink" Target="https://eur-lex.europa.eu/" TargetMode="External"/><Relationship Id="rId21" Type="http://schemas.openxmlformats.org/officeDocument/2006/relationships/fontTable" Target="fontTable.xml"/><Relationship Id="rIdpanel0910corr" Type="http://schemas.openxmlformats.org/officeDocument/2006/relationships/hyperlink" Target="https://digital-strategy.ec.europa.eu/en/news/commission-holds-special-meeting-scientific-panel-frontier-ai-safety-and-risks" TargetMode="External"/><Relationship Id="rIdfaq0910corr" Type="http://schemas.openxmlformats.org/officeDocument/2006/relationships/hyperlink" Target="https://ai-act-service-desk.ec.europa.eu/en/faq" TargetMode="External"/><Relationship Id="rIdiappidx0910corr" Type="http://schemas.openxmlformats.org/officeDocument/2006/relationships/hyperlink" Target="https://iapp.org/news/"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2026-10-09T07:15:14.283Z</dcterms:created>
  <dcterms:modified xsi:type="dcterms:W3CDTF">2026-10-09T07:15:14.284Z</dcterms:modified>
</cp:coreProperties>
</file>

<file path=docProps/custom.xml><?xml version="1.0" encoding="utf-8"?>
<Properties xmlns="http://schemas.openxmlformats.org/officeDocument/2006/custom-properties" xmlns:vt="http://schemas.openxmlformats.org/officeDocument/2006/docPropsVTypes"/>
</file>