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rPr>
          <w:rFonts w:ascii="Times New Roman" w:cs="Times New Roman" w:eastAsia="Times New Roman" w:hAnsi="Times New Roman"/>
          <w:b/>
          <w:bCs/>
          <w:color w:val="1B3A6B"/>
          <w:sz w:val="52"/>
          <w:szCs w:val="52"/>
        </w:rPr>
        <w:t xml:space="preserve">Leçon Placement financier n°10</w:t>
      </w:r>
    </w:p>
    <w:p>
      <w:pPr>
        <w:spacing w:after="200" w:before="200"/>
        <w:jc w:val="center"/>
      </w:pPr>
      <w:r>
        <w:rPr>
          <w:rFonts w:ascii="Times New Roman" w:cs="Times New Roman" w:eastAsia="Times New Roman" w:hAnsi="Times New Roman"/>
          <w:b/>
          <w:bCs/>
          <w:color w:val="1B3A6B"/>
          <w:sz w:val="52"/>
          <w:szCs w:val="52"/>
        </w:rPr>
        <w:t xml:space="preserve">Fiscalité des revenus du capital</w:t>
      </w:r>
    </w:p>
    <w:p>
      <w:pPr>
        <w:spacing w:after="200" w:before="200"/>
        <w:jc w:val="center"/>
      </w:pPr>
      <w:r>
        <w:rPr>
          <w:rFonts w:ascii="Times New Roman" w:cs="Times New Roman" w:eastAsia="Times New Roman" w:hAnsi="Times New Roman"/>
          <w:b/>
          <w:bCs/>
          <w:color w:val="1B3A6B"/>
          <w:sz w:val="52"/>
          <w:szCs w:val="52"/>
        </w:rPr>
        <w:t xml:space="preserve">PFU, barème progressif, prélèvements sociaux</w:t>
      </w:r>
    </w:p>
    <w:p>
      <w:pPr>
        <w:spacing w:after="80" w:before="80"/>
      </w:pPr>
      <w:r>
        <w:t xml:space="preserve"/>
      </w:r>
    </w:p>
    <w:p>
      <w:pPr>
        <w:spacing w:after="240" w:before="60"/>
        <w:jc w:val="center"/>
      </w:pPr>
      <w:r>
        <w:rPr>
          <w:rFonts w:ascii="Times New Roman" w:cs="Times New Roman" w:eastAsia="Times New Roman" w:hAnsi="Times New Roman"/>
          <w:color w:val="1F2937"/>
          <w:sz w:val="22"/>
          <w:szCs w:val="22"/>
        </w:rPr>
        <w:t xml:space="preserve">Date : 15 août 2026  ·  </w:t>
      </w:r>
      <w:r>
        <w:rPr>
          <w:rFonts w:ascii="Times New Roman" w:cs="Times New Roman" w:eastAsia="Times New Roman" w:hAnsi="Times New Roman"/>
          <w:i/>
          <w:iCs/>
          <w:color w:val="1B3A6B"/>
          <w:sz w:val="22"/>
          <w:szCs w:val="22"/>
        </w:rPr>
        <w:t xml:space="preserve">Leçon 10 / 20  ·  Parcours Placement financier (éducation)</w:t>
      </w:r>
    </w:p>
    <w:p>
      <w:pPr>
        <w:spacing w:after="100" w:before="100"/>
        <w:jc w:val="center"/>
      </w:pPr>
      <w:r>
        <w:rPr>
          <w:rFonts w:ascii="Courier New" w:cs="Courier New" w:eastAsia="Courier New" w:hAnsi="Courier New"/>
          <w:color w:val="BBBBBB"/>
          <w:sz w:val="18"/>
          <w:szCs w:val="18"/>
        </w:rPr>
        <w:t xml:space="preserve">────────────────────────────────────────────────────────────</w:t>
      </w:r>
    </w:p>
    <w:p>
      <w:pPr>
        <w:spacing w:after="120" w:before="300"/>
      </w:pPr>
      <w:r>
        <w:rPr>
          <w:rFonts w:ascii="Times New Roman" w:cs="Times New Roman" w:eastAsia="Times New Roman" w:hAnsi="Times New Roman"/>
          <w:b/>
          <w:bCs/>
          <w:color w:val="1B3A6B"/>
          <w:sz w:val="30"/>
          <w:szCs w:val="30"/>
        </w:rPr>
        <w:t xml:space="preserve">🎯 Objectif &amp; continuité</w:t>
      </w:r>
    </w:p>
    <w:p>
      <w:pPr>
        <w:spacing w:after="60" w:before="60"/>
      </w:pPr>
      <w:r>
        <w:rPr>
          <w:rFonts w:ascii="Times New Roman" w:cs="Times New Roman" w:eastAsia="Times New Roman" w:hAnsi="Times New Roman"/>
          <w:color w:val="1F2937"/>
          <w:sz w:val="22"/>
          <w:szCs w:val="22"/>
        </w:rPr>
        <w:t xml:space="preserve">À la fin de cette leçon, vous serez capable de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Distinguer le Prélèvement Forfaitaire Unique (PFU) de l'option pour le barème progressif de l'impôt sur le revenu</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Comprendre la composition des prélèvements sociaux en vigueur en 2026 (18,6 %)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Identifier les produits et enveloppes fiscalement avantageux (PEA, assurance-vie &gt; 8 ans, Livret A…)</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Calculer, dans un cas simple, l'imposition nette selon chaque régime, et savoir quelles questions poser à un professionnel agréé pour choisir</w:t>
      </w:r>
    </w:p>
    <w:p>
      <w:pPr>
        <w:spacing w:after="80" w:before="80"/>
      </w:pPr>
      <w:r>
        <w:t xml:space="preserve"/>
      </w:r>
    </w:p>
    <w:p>
      <w:pPr>
        <w:spacing w:after="60" w:before="60"/>
      </w:pPr>
      <w:r>
        <w:rPr>
          <w:rFonts w:ascii="Times New Roman" w:cs="Times New Roman" w:eastAsia="Times New Roman" w:hAnsi="Times New Roman"/>
          <w:color w:val="1F2937"/>
          <w:sz w:val="22"/>
          <w:szCs w:val="22"/>
        </w:rPr>
        <w:t xml:space="preserve">Lien avec la leçon précédente (n°9 — Les frais et leur impact sur le long terme) : on a vu que les frais érodent le rendement brut de façon invisible et cumulative. La fiscalité est le second levier d'érosion « silencieuse » du rendement réel. Les comprendre permet d'arbitrer entre enveloppes non plus sur les seuls frais, mais sur le coût fiscal complet.</w:t>
      </w:r>
    </w:p>
    <w:p>
      <w:pPr>
        <w:spacing w:after="80" w:before="80"/>
      </w:pPr>
      <w:r>
        <w:t xml:space="preserve"/>
      </w:r>
    </w:p>
    <w:p>
      <w:pPr>
        <w:spacing w:after="100" w:before="100"/>
        <w:jc w:val="center"/>
      </w:pPr>
      <w:r>
        <w:rPr>
          <w:rFonts w:ascii="Courier New" w:cs="Courier New" w:eastAsia="Courier New" w:hAnsi="Courier New"/>
          <w:color w:val="BBBBBB"/>
          <w:sz w:val="18"/>
          <w:szCs w:val="18"/>
        </w:rPr>
        <w:t xml:space="preserve">────────────────────────────────────────────────────────────</w:t>
      </w:r>
    </w:p>
    <w:p>
      <w:pPr>
        <w:spacing w:after="120" w:before="300"/>
      </w:pPr>
      <w:r>
        <w:rPr>
          <w:rFonts w:ascii="Times New Roman" w:cs="Times New Roman" w:eastAsia="Times New Roman" w:hAnsi="Times New Roman"/>
          <w:b/>
          <w:bCs/>
          <w:color w:val="1B3A6B"/>
          <w:sz w:val="30"/>
          <w:szCs w:val="30"/>
        </w:rPr>
        <w:t xml:space="preserve">⚖️ Rappel</w:t>
      </w:r>
    </w:p>
    <w:p>
      <w:pPr>
        <w:shd w:color="F3F4F6" w:val="solid"/>
        <w:spacing w:after="120" w:before="120"/>
        <w:ind w:left="360" w:right="360"/>
      </w:pPr>
      <w:r>
        <w:rPr>
          <w:rFonts w:ascii="Times New Roman" w:cs="Times New Roman" w:eastAsia="Times New Roman" w:hAnsi="Times New Roman"/>
          <w:color w:val="1F2937"/>
          <w:sz w:val="22"/>
          <w:szCs w:val="22"/>
        </w:rPr>
        <w:t xml:space="preserve">Cette leçon relève de l'éducation financière générale. Elle n'est pas un conseil en investissement personnalisé. Les revenus du capital comportent un risque de perte en capital selon les produits. Pour toute décision patrimoniale, consultez un conseiller en gestion de patrimoine (CGP) ou un conseiller en investissements financiers (CIF) agréé par l'AMF.</w:t>
      </w:r>
    </w:p>
    <w:p>
      <w:pPr>
        <w:spacing w:after="80" w:before="80"/>
      </w:pPr>
      <w:r>
        <w:t xml:space="preserve"/>
      </w:r>
    </w:p>
    <w:p>
      <w:pPr>
        <w:spacing w:after="100" w:before="100"/>
        <w:jc w:val="center"/>
      </w:pPr>
      <w:r>
        <w:rPr>
          <w:rFonts w:ascii="Courier New" w:cs="Courier New" w:eastAsia="Courier New" w:hAnsi="Courier New"/>
          <w:color w:val="BBBBBB"/>
          <w:sz w:val="18"/>
          <w:szCs w:val="18"/>
        </w:rPr>
        <w:t xml:space="preserve">────────────────────────────────────────────────────────────</w:t>
      </w:r>
    </w:p>
    <w:p>
      <w:pPr>
        <w:spacing w:after="120" w:before="300"/>
      </w:pPr>
      <w:r>
        <w:rPr>
          <w:rFonts w:ascii="Times New Roman" w:cs="Times New Roman" w:eastAsia="Times New Roman" w:hAnsi="Times New Roman"/>
          <w:b/>
          <w:bCs/>
          <w:color w:val="1B3A6B"/>
          <w:sz w:val="30"/>
          <w:szCs w:val="30"/>
        </w:rPr>
        <w:t xml:space="preserve">🔬 Théorie (20 %) — La fiscalité des revenus du capital</w:t>
      </w:r>
    </w:p>
    <w:p>
      <w:pPr>
        <w:spacing w:after="80" w:before="200"/>
      </w:pPr>
      <w:r>
        <w:rPr>
          <w:rFonts w:ascii="Times New Roman" w:cs="Times New Roman" w:eastAsia="Times New Roman" w:hAnsi="Times New Roman"/>
          <w:b/>
          <w:bCs/>
          <w:color w:val="1F2937"/>
          <w:sz w:val="26"/>
          <w:szCs w:val="26"/>
        </w:rPr>
        <w:t xml:space="preserve">1. Qu'est-ce qu'un « revenu du capital » ?</w:t>
      </w:r>
    </w:p>
    <w:p>
      <w:pPr>
        <w:spacing w:after="60" w:before="60"/>
      </w:pPr>
      <w:r>
        <w:rPr>
          <w:rFonts w:ascii="Times New Roman" w:cs="Times New Roman" w:eastAsia="Times New Roman" w:hAnsi="Times New Roman"/>
          <w:color w:val="1F2937"/>
          <w:sz w:val="22"/>
          <w:szCs w:val="22"/>
        </w:rPr>
        <w:t xml:space="preserve">Les revenus du capital sont les gains générés par un actif financier. On distingue deux grandes catégories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revenus mobiliers : intérêts (sur des obligations, livrets, dépôts), dividendes (part des bénéfices distribués par une société)</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plus-values de cession : gain réalisé à la vente d'un actif (actions, parts de fonds) au-dessus de son prix d'achat</w:t>
      </w:r>
    </w:p>
    <w:p>
      <w:pPr>
        <w:spacing w:after="60" w:before="60"/>
      </w:pPr>
      <w:r>
        <w:rPr>
          <w:rFonts w:ascii="Times New Roman" w:cs="Times New Roman" w:eastAsia="Times New Roman" w:hAnsi="Times New Roman"/>
          <w:color w:val="1F2937"/>
          <w:sz w:val="22"/>
          <w:szCs w:val="22"/>
        </w:rPr>
        <w:t xml:space="preserve">La distinction est importante car certains régimes ne s'appliquent qu'à l'une ou l'autre catégorie.</w:t>
      </w:r>
    </w:p>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2. Le Prélèvement Forfaitaire Unique (PFU) — la « flat tax »</w:t>
      </w:r>
    </w:p>
    <w:p>
      <w:pPr>
        <w:spacing w:after="60" w:before="60"/>
      </w:pPr>
      <w:r>
        <w:rPr>
          <w:rFonts w:ascii="Times New Roman" w:cs="Times New Roman" w:eastAsia="Times New Roman" w:hAnsi="Times New Roman"/>
          <w:color w:val="1F2937"/>
          <w:sz w:val="22"/>
          <w:szCs w:val="22"/>
        </w:rPr>
        <w:t xml:space="preserve">Introduit en 2018, le PFU est le régime de droit commun. Il s'applique automatiquement, sans démarche de votre part.</w:t>
      </w:r>
    </w:p>
    <w:p>
      <w:pPr>
        <w:spacing w:after="80" w:before="80"/>
      </w:pPr>
      <w:r>
        <w:t xml:space="preserve"/>
      </w:r>
    </w:p>
    <w:p>
      <w:pPr>
        <w:spacing w:after="60" w:before="60"/>
      </w:pPr>
      <w:r>
        <w:rPr>
          <w:rFonts w:ascii="Times New Roman" w:cs="Times New Roman" w:eastAsia="Times New Roman" w:hAnsi="Times New Roman"/>
          <w:color w:val="1F2937"/>
          <w:sz w:val="22"/>
          <w:szCs w:val="22"/>
        </w:rPr>
        <w:t xml:space="preserve">Composition du PFU en 2026 (source : impots.gouv.fr — Les revenus mobiliers)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Composante</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Taux</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Détail</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Impôt sur le revenu (IR)</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12,8 %</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Taux fixe, indépendant de la tranche marginale</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Prélèvements sociaux</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18,6 %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CSG 10,6 % + CRDS 0,5 % + Solidarité 7,5 %</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PFU total 2026</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31,4 %</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Hausse de 1,4 pt vs 2025 (contribution financement autonomie)</w:t>
            </w:r>
          </w:p>
        </w:tc>
      </w:tr>
    </w:tbl>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 Changement 2026 : le PFU est passé de 30 % à 31,4 % au 1er janvier 2026, en raison de la hausse de la CSG de 9,2 % à 10,6 % (financement de la branche autonomie). Les taux mentionnés dans des sources antérieures à janvier 2026 sont donc dépassés.</w:t>
      </w:r>
    </w:p>
    <w:p>
      <w:pPr>
        <w:spacing w:after="80" w:before="80"/>
      </w:pPr>
      <w:r>
        <w:t xml:space="preserve"/>
      </w:r>
    </w:p>
    <w:p>
      <w:pPr>
        <w:spacing w:after="60" w:before="60"/>
      </w:pPr>
      <w:r>
        <w:rPr>
          <w:rFonts w:ascii="Times New Roman" w:cs="Times New Roman" w:eastAsia="Times New Roman" w:hAnsi="Times New Roman"/>
          <w:color w:val="1F2937"/>
          <w:sz w:val="22"/>
          <w:szCs w:val="22"/>
        </w:rPr>
        <w:t xml:space="preserve">Comment fonctionne le prélèvement en pratique ? La banque ou l'établissement financier prélève 12,8 % à la source comme acompte lors de chaque versement (retenue à la source non libératoire). Le montant est régularisé lors de la déclaration de revenus annuelle.</w:t>
      </w:r>
    </w:p>
    <w:p>
      <w:pPr>
        <w:spacing w:after="80" w:before="80"/>
      </w:pPr>
      <w:r>
        <w:t xml:space="preserve"/>
      </w:r>
    </w:p>
    <w:p>
      <w:pPr>
        <w:spacing w:after="60" w:before="60"/>
      </w:pPr>
      <w:r>
        <w:rPr>
          <w:rFonts w:ascii="Times New Roman" w:cs="Times New Roman" w:eastAsia="Times New Roman" w:hAnsi="Times New Roman"/>
          <w:color w:val="1F2937"/>
          <w:sz w:val="22"/>
          <w:szCs w:val="22"/>
        </w:rPr>
        <w:t xml:space="preserve">Seuil d'exonération de la retenue à la source (acompte 12,8 %) : revenu fiscal de référence (RFR) inférieur à 25 000 € pour un célibataire, 50 000 € pour un couple. Dans ce cas, vous pouvez demander la dispense de la retenue à la source auprès de votre établissement avant le 30 novembre de l'année précédente.</w:t>
      </w:r>
    </w:p>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3. L'option pour le barème progressif de l'IR</w:t>
      </w:r>
    </w:p>
    <w:p>
      <w:pPr>
        <w:spacing w:after="60" w:before="60"/>
      </w:pPr>
      <w:r>
        <w:rPr>
          <w:rFonts w:ascii="Times New Roman" w:cs="Times New Roman" w:eastAsia="Times New Roman" w:hAnsi="Times New Roman"/>
          <w:color w:val="1F2937"/>
          <w:sz w:val="22"/>
          <w:szCs w:val="22"/>
        </w:rPr>
        <w:t xml:space="preserve">Chaque année, lors de la déclaration de revenus, vous pouvez opter pour le barème progressif en cochant la case 2OP. Points essentiels à retenir :</w:t>
      </w:r>
    </w:p>
    <w:p>
      <w:pPr>
        <w:spacing w:after="80" w:before="80"/>
      </w:pPr>
      <w:r>
        <w:t xml:space="preserve"/>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L'option est globale : elle s'applique à tous les revenus du capital de l'année (intérêts, dividendes, plus-values). On ne peut pas choisir produit par produit.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prélèvements sociaux (18,6 %) restent dus dans tous les cas — que vous choisissiez PFU ou barème progressif.</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Avantage spécifique du barème progressif : abattement de 40 % sur les dividendes bruts, applicable aux dividendes de sociétés françaises ou européennes soumises à l'IS. La base imposable à l'IR est donc 60 % du dividende brut.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CSG partiellement déductible : 6,8 % de la CSG payée sur les revenus du capital sont déductibles du revenu imposable de l'année suivante (N+1), uniquement avec l'option barème progressif.</w:t>
      </w:r>
    </w:p>
    <w:p>
      <w:pPr>
        <w:spacing w:after="80" w:before="80"/>
      </w:pPr>
      <w:r>
        <w:t xml:space="preserve"/>
      </w:r>
    </w:p>
    <w:p>
      <w:pPr>
        <w:spacing w:after="60" w:before="60"/>
      </w:pPr>
      <w:r>
        <w:rPr>
          <w:rFonts w:ascii="Times New Roman" w:cs="Times New Roman" w:eastAsia="Times New Roman" w:hAnsi="Times New Roman"/>
          <w:color w:val="1F2937"/>
          <w:sz w:val="22"/>
          <w:szCs w:val="22"/>
        </w:rPr>
        <w:t xml:space="preserve">Depuis 2026 : l'option barème progressif n'est plus irrévocable. Vous pouvez choisir chaque année le régime le plus favorable. C'est une nouveauté favorable aux contribuables.</w:t>
      </w:r>
    </w:p>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Critère</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PFU (défaut)</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Barème progressif (case 2OP)</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Taux IR</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12,8 % fixe</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Tranche marginale (0 %, 11 %, 30 %, 41 % ou 45 %)</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Prélèvements sociaux</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18,6 %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18,6 % (identiques)</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Abattement dividendes</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Aucun</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40 % sur dividendes bruts</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CSG déductible N+1</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Non</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Oui — 6,8 % déductibles</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Abattement durée détention (titres pré-2018)</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Non</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Oui — 50 % (&gt; 2 ans) / 65 % (&gt; 8 ans)</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Globalité de l'option</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N/A</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Oui — tous les revenus du capital</w:t>
            </w:r>
          </w:p>
        </w:tc>
      </w:tr>
    </w:tbl>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4. Quand le barème progressif devient-il avantageux ?</w:t>
      </w:r>
    </w:p>
    <w:p>
      <w:pPr>
        <w:spacing w:after="60" w:before="60"/>
      </w:pPr>
      <w:r>
        <w:rPr>
          <w:rFonts w:ascii="Times New Roman" w:cs="Times New Roman" w:eastAsia="Times New Roman" w:hAnsi="Times New Roman"/>
          <w:color w:val="1F2937"/>
          <w:sz w:val="22"/>
          <w:szCs w:val="22"/>
        </w:rPr>
        <w:t xml:space="preserve">La littérature sur la fiscalité de l'épargne identifie un cas central : le contribuable dont la tranche marginale d'imposition (TMI) est inférieure à 12,8 % bénéficie mécaniquement du barème progressif. Pour les tranches supérieures, l'abattement de 40 % sur dividendes peut compenser, selon la composition des revenus.</w:t>
      </w:r>
    </w:p>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Situation</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Orientation générale (à vérifier avec un professionnel)</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TMI 0 % ou 11 %</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Barème progressif souvent plus favorable</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Revenus principalement en dividendes + abattement 40 %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Barème progressif à étudier</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TMI 30 % — revenus mixtes intérêts/dividendes</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PFU souvent équivalent ou légèrement avantageux</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TMI 41 % ou 45 %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PFU systématiquement plus avantageux</w:t>
            </w:r>
          </w:p>
        </w:tc>
      </w:tr>
    </w:tbl>
    <w:p>
      <w:pPr>
        <w:shd w:color="F3F4F6" w:val="solid"/>
        <w:spacing w:after="120" w:before="120"/>
        <w:ind w:left="360" w:right="360"/>
      </w:pPr>
      <w:r>
        <w:rPr>
          <w:rFonts w:ascii="Times New Roman" w:cs="Times New Roman" w:eastAsia="Times New Roman" w:hAnsi="Times New Roman"/>
          <w:color w:val="1F2937"/>
          <w:sz w:val="22"/>
          <w:szCs w:val="22"/>
        </w:rPr>
        <w:t xml:space="preserve">Attention : ce tableau est une orientation pédagogique, non un conseil personnalisé. Le calcul exact dépend de votre situation complète. Demandez une simulation à votre conseiller agréé.</w:t>
      </w:r>
    </w:p>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5. Les prélèvements sociaux — Composition détaillée (2026)</w:t>
      </w:r>
    </w:p>
    <w:p>
      <w:pPr>
        <w:spacing w:after="60" w:before="60"/>
      </w:pPr>
      <w:r>
        <w:rPr>
          <w:rFonts w:ascii="Times New Roman" w:cs="Times New Roman" w:eastAsia="Times New Roman" w:hAnsi="Times New Roman"/>
          <w:color w:val="1F2937"/>
          <w:sz w:val="22"/>
          <w:szCs w:val="22"/>
        </w:rPr>
        <w:t xml:space="preserve">Source : service-public.fr / F2329 (prélèvements sociaux sur les revenus du capital, 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Prélèvement</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Taux 2026</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CSG (Contribution Sociale Généralisée)</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10,6 %</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CRDS (Contribution au Remboursement de la Dette Sociale)</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0,5 %</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Prélèvement de solidarité</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7,5 %</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Total prélèvements sociaux</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18,6 %</w:t>
            </w:r>
          </w:p>
        </w:tc>
      </w:tr>
    </w:tbl>
    <w:p>
      <w:pPr>
        <w:spacing w:after="60" w:before="60"/>
      </w:pPr>
      <w:r>
        <w:rPr>
          <w:rFonts w:ascii="Times New Roman" w:cs="Times New Roman" w:eastAsia="Times New Roman" w:hAnsi="Times New Roman"/>
          <w:color w:val="1F2937"/>
          <w:sz w:val="22"/>
          <w:szCs w:val="22"/>
        </w:rPr>
        <w:t xml:space="preserve">Les prélèvements sociaux s'appliquent sur les gains, pas sur le capital. Ils concernent les intérêts, dividendes et plus-values, et restent dus que l'on choisisse le PFU ou le barème progressif. ⚠️ EN REVANCHE, LE TAUX DE 18,6 % N'EST PAS UNIVERSEL — et la première distinction à faire n'est pas produit par produit, mais par CATÉGORIE DE REVENU. La hausse du 1er janvier 2026 porte la CSG de 9,2 % à 10,6 % sur les revenus de PLACEMENT uniquement. Les revenus du PATRIMOINE gardent une CSG à 9,2 %, donc 17,2 % au total : c'est le cas des revenus fonciers (location nue) et des plus-values immobilières — la location meublée non professionnelle, relevant des BIC, suit en revanche le régime des placements à 18,6 %. À l'intérieur même des revenus de placement, conservent en outre 17,2 % les contrats d'assurance-vie et de capitalisation avec valeur de rachat, les CEL ouverts jusqu'au 31/12/2017, les PEL ouverts jusqu'au 31/12/2017 pour leurs douze premières années, et les PEP exonérés. Les PEA ouverts avant 2018 relèvent de règles transitoires par période de détention ; ceux ouverts depuis 2018 suivent le taux en vigueur au retrait, soit 18,6 %. Vérifié le 15/08/2026 sur impots.gouv.fr (Les revenus mobiliers) et service-public.gouv.fr (fiche F2329, qui présente les deux catégories dans deux tableaux distincts).</w:t>
      </w:r>
    </w:p>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6. Les enveloppes fiscalement avantageuses</w:t>
      </w:r>
    </w:p>
    <w:p>
      <w:pPr>
        <w:spacing w:after="60" w:before="60"/>
      </w:pPr>
      <w:r>
        <w:rPr>
          <w:rFonts w:ascii="Times New Roman" w:cs="Times New Roman" w:eastAsia="Times New Roman" w:hAnsi="Times New Roman"/>
          <w:color w:val="1F2937"/>
          <w:sz w:val="22"/>
          <w:szCs w:val="22"/>
        </w:rPr>
        <w:t xml:space="preserve">Certaines enveloppes bénéficient d'un régime dérogatoire — plus favorable que le PFU — à condition de respecter leurs règles propres (durée de détention, plafonds, conditions de retrait) :</w:t>
      </w:r>
    </w:p>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Enveloppe / Produit</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Avantage fiscal</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Condition principale</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Livret A, LDDS, LEP</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Totalement exonérés (IR + prélèvements sociaux)</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Plafonds de versement réglementés</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PEA — Plan d'Épargne en Actions</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Exonération IR après 5 ans ; prélèvements sociaux (18,6 %) seuls</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Durée de détention ≥ 5 ans</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Assurance-vie &gt; 8 ans</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IR à 7,5 % (au lieu de 12,8 %) ET prélèvements sociaux maintenus à 17,2 % — soit 24,7 % au total, et non 26,1 % ; abattement annuel 4 600 € (célibataire) / 9 200 € (couple)</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Ancienneté du contrat ≥ 8 ans</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PEL (avant 12 ans)</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Exonération d'IR pendant la phase d'épargne (prélèvements sociaux dus)</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PEL ouvert avant 2018</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PER — Plan d'Épargne Retraite</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Déduction des versements du revenu imposable (phase d'épargne) ; imposition à la sortie selon option</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Sortie en rente ou en capital à la retraite</w:t>
            </w:r>
          </w:p>
        </w:tc>
      </w:tr>
    </w:tbl>
    <w:p>
      <w:pPr>
        <w:shd w:color="F3F4F6" w:val="solid"/>
        <w:spacing w:after="120" w:before="120"/>
        <w:ind w:left="360" w:right="360"/>
      </w:pPr>
      <w:r>
        <w:rPr>
          <w:rFonts w:ascii="Times New Roman" w:cs="Times New Roman" w:eastAsia="Times New Roman" w:hAnsi="Times New Roman"/>
          <w:color w:val="1F2937"/>
          <w:sz w:val="22"/>
          <w:szCs w:val="22"/>
        </w:rPr>
        <w:t xml:space="preserve">Rappel : les régimes fiscaux des enveloppes sont susceptibles d'évoluer, et toute réforme de taux s'accompagne presque toujours de régimes transitoires et de produits exclus — c'est le point le plus facile à manquer. Vérifiez les conditions en vigueur au moment de votre décision auprès d'un professionnel ou sur service-public.gouv.fr et impots.gouv.fr.</w:t>
      </w:r>
    </w:p>
    <w:p>
      <w:pPr>
        <w:spacing w:after="80" w:before="80"/>
      </w:pPr>
      <w:r>
        <w:t xml:space="preserve"/>
      </w:r>
    </w:p>
    <w:p>
      <w:pPr>
        <w:spacing w:after="100" w:before="100"/>
        <w:jc w:val="center"/>
      </w:pPr>
      <w:r>
        <w:rPr>
          <w:rFonts w:ascii="Courier New" w:cs="Courier New" w:eastAsia="Courier New" w:hAnsi="Courier New"/>
          <w:color w:val="BBBBBB"/>
          <w:sz w:val="18"/>
          <w:szCs w:val="18"/>
        </w:rPr>
        <w:t xml:space="preserve">────────────────────────────────────────────────────────────</w:t>
      </w:r>
    </w:p>
    <w:p>
      <w:pPr>
        <w:spacing w:after="120" w:before="300"/>
      </w:pPr>
      <w:r>
        <w:rPr>
          <w:rFonts w:ascii="Times New Roman" w:cs="Times New Roman" w:eastAsia="Times New Roman" w:hAnsi="Times New Roman"/>
          <w:b/>
          <w:bCs/>
          <w:color w:val="1B3A6B"/>
          <w:sz w:val="30"/>
          <w:szCs w:val="30"/>
        </w:rPr>
        <w:t xml:space="preserve">🛠️ Pratique (80 %) — Exercices</w:t>
      </w:r>
    </w:p>
    <w:p>
      <w:pPr>
        <w:spacing w:after="80" w:before="200"/>
      </w:pPr>
      <w:r>
        <w:rPr>
          <w:rFonts w:ascii="Times New Roman" w:cs="Times New Roman" w:eastAsia="Times New Roman" w:hAnsi="Times New Roman"/>
          <w:b/>
          <w:bCs/>
          <w:color w:val="1F2937"/>
          <w:sz w:val="26"/>
          <w:szCs w:val="26"/>
        </w:rPr>
        <w:t xml:space="preserve">Exercice 1 — Décomposer le PFU</w:t>
      </w:r>
    </w:p>
    <w:p>
      <w:pPr>
        <w:spacing w:after="60" w:before="60"/>
      </w:pPr>
      <w:r>
        <w:rPr>
          <w:rFonts w:ascii="Times New Roman" w:cs="Times New Roman" w:eastAsia="Times New Roman" w:hAnsi="Times New Roman"/>
          <w:color w:val="1F2937"/>
          <w:sz w:val="22"/>
          <w:szCs w:val="22"/>
        </w:rPr>
        <w:t xml:space="preserve">Questions de compréhension active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Q1. Un épargnant perçoit 800 € d'intérêts sur un contrat obligataire. Quel montant sera prélevé au titre du PFU 2026 ? Décomposez la réponse en IR et prélèvements sociaux.</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Q2. La même année, il perçoit 500 € de dividendes. Qu'est-ce qui change dans le calcul par rapport aux intérêts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Q3. Sa banque a prélevé un acompte de 12,8 % en cours d'année. Qu'advient-il de cet acompte lors de la déclaration de revenus ?</w:t>
      </w:r>
    </w:p>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Corrigé — Exercice 1</w:t>
      </w:r>
    </w:p>
    <w:p>
      <w:pPr>
        <w:shd w:color="F3F4F6" w:val="solid"/>
        <w:spacing w:after="120" w:before="120"/>
        <w:ind w:left="360" w:right="360"/>
      </w:pPr>
      <w:r>
        <w:rPr>
          <w:rFonts w:ascii="Times New Roman" w:cs="Times New Roman" w:eastAsia="Times New Roman" w:hAnsi="Times New Roman"/>
          <w:color w:val="1F2937"/>
          <w:sz w:val="22"/>
          <w:szCs w:val="22"/>
        </w:rPr>
        <w:t xml:space="preserve">Q1. Intérêts : 800 € × 12,8 % = 102,40 € (IR) + 800 € × 18,6 % = 148,80 € (prélèvements sociaux) = 251,20 € au total, soit un taux effectif de 31,4 %. Le gain net après fiscalité est de 548,80 €.</w:t>
      </w:r>
    </w:p>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Q2. Pour les dividendes, le montant prélevé au titre du PFU est identique dans le calcul (31,4 % sur le brut). Mais si l'épargnant optait pour le barème progressif, un abattement de 40 % s'appliquerait sur la base IR uniquement — pas sur les prélèvements sociaux. Le montant net dépend alors de sa TMI.</w:t>
      </w:r>
    </w:p>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Q3. L'acompte de 12,8 % prélevé par la banque est une retenue à la source non libératoire : il constitue un acompte sur l'IR dû. Lors de la déclaration, l'administration calcule l'impôt réel ; l'acompte déjà payé vient en déduction. Si l'acompte dépasse l'IR réel (ex. : contribuable exonéré), le surplus est remboursé.</w:t>
      </w:r>
    </w:p>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Exercice 2 — PFU vs barème progressif : comparer deux situations</w:t>
      </w:r>
    </w:p>
    <w:p>
      <w:pPr>
        <w:spacing w:after="60" w:before="60"/>
      </w:pPr>
      <w:r>
        <w:rPr>
          <w:rFonts w:ascii="Times New Roman" w:cs="Times New Roman" w:eastAsia="Times New Roman" w:hAnsi="Times New Roman"/>
          <w:color w:val="1F2937"/>
          <w:sz w:val="22"/>
          <w:szCs w:val="22"/>
        </w:rPr>
        <w:t xml:space="preserve">Deux profils fictifs perçoivent chacun 2 000 € de dividendes bruts dans l'année.</w:t>
      </w:r>
    </w:p>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Profil A</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Profil B</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TMI (tranche marginale)</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11 %</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30 %</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Dividendes bruts</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2 000 €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2 000 €</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PFU — IR (12,8 %)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256 €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256 €</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PFU — Prélèvements sociaux (18,6 %)</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372 €</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372 €</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Total PFU</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628 €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628 €</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Option barème — base IR (après abattement 40 %)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1 200 €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1 200 €</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Option barème — IR selon TMI</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1 200 × 11 % = 132 €</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1 200 × 30 % = 360 €</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Option barème — Prélèvements sociaux (18,6 %)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372 €</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372 €</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Total barème progressif</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504 €</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732 €</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Gain (ou coût) du barème vs PFU</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−124 € (économie)</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+104 € (surcoût)</w:t>
            </w:r>
          </w:p>
        </w:tc>
      </w:tr>
    </w:tbl>
    <w:p>
      <w:pPr>
        <w:spacing w:after="80" w:before="80"/>
      </w:pPr>
      <w:r>
        <w:t xml:space="preserve"/>
      </w:r>
    </w:p>
    <w:p>
      <w:pPr>
        <w:spacing w:after="60" w:before="6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Pour quel profil l'option barème est-elle avantageuse ? Pourquoi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 le Profil A décide d'opter pour le barème progressif, à quoi doit-il veiller pour ne pas se retrouver dans une situation moins favorable ?</w:t>
      </w:r>
    </w:p>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Corrigé — Exercice 2</w:t>
      </w:r>
    </w:p>
    <w:p>
      <w:pPr>
        <w:shd w:color="F3F4F6" w:val="solid"/>
        <w:spacing w:after="120" w:before="120"/>
        <w:ind w:left="360" w:right="360"/>
      </w:pPr>
      <w:r>
        <w:rPr>
          <w:rFonts w:ascii="Times New Roman" w:cs="Times New Roman" w:eastAsia="Times New Roman" w:hAnsi="Times New Roman"/>
          <w:color w:val="1F2937"/>
          <w:sz w:val="22"/>
          <w:szCs w:val="22"/>
        </w:rPr>
        <w:t xml:space="preserve">Le barème progressif est avantageux pour le Profil A (TMI 11 %) : l'abattement de 40 % sur dividendes ramène la base IR à 1 200 €, imposée à 11 % = 132 €, soit bien moins que 256 € au PFU. L'économie est de 124 € sur cet unique poste.</w:t>
      </w:r>
    </w:p>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Pour le Profil B (TMI 30 %), le barème est défavorable : 360 € d'IR vs 256 €, une différence non compensée même par la CSG déductible de 6,8 %. Le PFU reste plus économique.</w:t>
      </w:r>
    </w:p>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Vigilance pour le Profil A : l'option est globale. Si, la même année, il perçoit aussi des intérêts (sans abattement), ils seront taxés à 11 % au lieu de 12,8 % — léger avantage. Mais s'il a réalisé des plus-values importantes, il doit vérifier que le barème n'alourdit pas la facture globale. Calcul complet recommandé, idéalement avec un conseiller ou un simulateur fiscal.</w:t>
      </w:r>
    </w:p>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Exercice 3 — Identifier l'enveloppe la plus adaptée</w:t>
      </w:r>
    </w:p>
    <w:p>
      <w:pPr>
        <w:spacing w:after="60" w:before="60"/>
      </w:pPr>
      <w:r>
        <w:rPr>
          <w:rFonts w:ascii="Times New Roman" w:cs="Times New Roman" w:eastAsia="Times New Roman" w:hAnsi="Times New Roman"/>
          <w:color w:val="1F2937"/>
          <w:sz w:val="22"/>
          <w:szCs w:val="22"/>
        </w:rPr>
        <w:t xml:space="preserve">Situation : un épargnant dispose de 20 000 € à placer sur 7 à 8 ans. Il hésite entre trois solutions pour investir en actions européennes.</w:t>
      </w:r>
    </w:p>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Option</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Enveloppe</w:t>
            </w:r>
          </w:p>
        </w:tc>
        <w:tc>
          <w:tcPr>
            <w:shd w:color="1B3A6B" w:val="solid"/>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Régime fiscal à la sortie (7-8 ans)</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A</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Compte-titres ordinaire (CTO)</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PFU 31,4 % sur les plus-values et dividendes</w:t>
            </w:r>
          </w:p>
        </w:tc>
      </w:tr>
      <w:tr>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B</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PEA — ouvert depuis 6 ans</w:t>
            </w:r>
          </w:p>
        </w:tc>
        <w:tc>
          <w:tcPr>
            <w:shd w:color="EEF2F7"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Exonération IR ; prélèvements sociaux 18,6 % sur plus-values</w:t>
            </w:r>
          </w:p>
        </w:tc>
      </w:tr>
      <w:tr>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C</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Assurance-vie en UC (contrat &gt; 8 ans, 1er versement)</w:t>
            </w:r>
          </w:p>
        </w:tc>
        <w:tc>
          <w:tcPr>
            <w:shd w:color="FFFFFF" w:val="solid"/>
            <w:tcMar>
              <w:top w:type="dxa" w:w="60"/>
              <w:left w:type="dxa" w:w="120"/>
              <w:bottom w:type="dxa" w:w="60"/>
              <w:right w:type="dxa" w:w="120"/>
            </w:tcMar>
          </w:tcPr>
          <w:p>
            <w:r>
              <w:rPr>
                <w:rFonts w:ascii="Times New Roman" w:cs="Times New Roman" w:eastAsia="Times New Roman" w:hAnsi="Times New Roman"/>
                <w:color w:val="1F2937"/>
                <w:sz w:val="20"/>
                <w:szCs w:val="20"/>
              </w:rPr>
              <w:t xml:space="preserve">IR 7,5 % + abattement 4 600 € ; prélèvements sociaux 18,6 %</w:t>
            </w:r>
          </w:p>
        </w:tc>
      </w:tr>
    </w:tbl>
    <w:p>
      <w:pPr>
        <w:spacing w:after="80" w:before="80"/>
      </w:pPr>
      <w:r>
        <w:t xml:space="preserve"/>
      </w:r>
    </w:p>
    <w:p>
      <w:pPr>
        <w:spacing w:after="60" w:before="6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Quelle option est fiscalement la plus légère, toutes choses égales par ailleurs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Quelles contraintes pratiques distinguent PEA et assurance-vie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Quels éléments manquent pour trancher définitivement ?</w:t>
      </w:r>
    </w:p>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Corrigé — Exercice 3</w:t>
      </w:r>
    </w:p>
    <w:p>
      <w:pPr>
        <w:shd w:color="F3F4F6" w:val="solid"/>
        <w:spacing w:after="120" w:before="120"/>
        <w:ind w:left="360" w:right="360"/>
      </w:pPr>
      <w:r>
        <w:rPr>
          <w:rFonts w:ascii="Times New Roman" w:cs="Times New Roman" w:eastAsia="Times New Roman" w:hAnsi="Times New Roman"/>
          <w:color w:val="1F2937"/>
          <w:sz w:val="22"/>
          <w:szCs w:val="22"/>
        </w:rPr>
        <w:t xml:space="preserve">Option B (PEA) : l'exonération d'IR sur les plus-values en fait l'enveloppe la moins taxée à l'horizon 7-8 ans, à condition que le plan ait plus de 5 ans. Seuls les 18,6 % de prélèvements sociaux restent dus.</w:t>
      </w:r>
    </w:p>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Option C (assurance-vie &gt; 8 ans) : l'IR à 7,5 % et l'abattement annuel de 4 600 € en font une option très compétitive, notamment si les gains restent sous l'abattement. Elle peut être plus flexible que le PEA (pas de plafond de 150 000 €, pas de restriction sur les classes d'actifs).</w:t>
      </w:r>
    </w:p>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Option A (CTO) : le moins favorable fiscalement sur ce type de gain, mais le plus flexible (pas de plafond, pas d'engagement de durée, accès à toutes les classes d'actifs mondiales).</w:t>
      </w:r>
    </w:p>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Éléments manquants pour trancher : montant des gains réalisés (si faibles, l'abattement AV couvre tout), existence d'un PEA déjà ouvert ou à ouvrir, frais de chaque enveloppe (rappel leçon 9), besoins de liquidité, fiscalité de transmission (voir leçon 16). Ces arbitrages relèvent d'un conseiller agréé.</w:t>
      </w:r>
    </w:p>
    <w:p>
      <w:pPr>
        <w:spacing w:after="80" w:before="80"/>
      </w:pPr>
      <w:r>
        <w:t xml:space="preserve"/>
      </w:r>
    </w:p>
    <w:p>
      <w:pPr>
        <w:spacing w:after="100" w:before="100"/>
        <w:jc w:val="center"/>
      </w:pPr>
      <w:r>
        <w:rPr>
          <w:rFonts w:ascii="Courier New" w:cs="Courier New" w:eastAsia="Courier New" w:hAnsi="Courier New"/>
          <w:color w:val="BBBBBB"/>
          <w:sz w:val="18"/>
          <w:szCs w:val="18"/>
        </w:rPr>
        <w:t xml:space="preserve">────────────────────────────────────────────────────────────</w:t>
      </w:r>
    </w:p>
    <w:p>
      <w:pPr>
        <w:spacing w:after="120" w:before="300"/>
      </w:pPr>
      <w:r>
        <w:rPr>
          <w:rFonts w:ascii="Times New Roman" w:cs="Times New Roman" w:eastAsia="Times New Roman" w:hAnsi="Times New Roman"/>
          <w:b/>
          <w:bCs/>
          <w:color w:val="1B3A6B"/>
          <w:sz w:val="30"/>
          <w:szCs w:val="30"/>
        </w:rPr>
        <w:t xml:space="preserve">🎯 Challenge — Optimisation fiscale d'un portefeuille fictif</w:t>
      </w:r>
    </w:p>
    <w:p>
      <w:pPr>
        <w:spacing w:after="60" w:before="60"/>
      </w:pPr>
      <w:r>
        <w:rPr>
          <w:rFonts w:ascii="Times New Roman" w:cs="Times New Roman" w:eastAsia="Times New Roman" w:hAnsi="Times New Roman"/>
          <w:color w:val="1F2937"/>
          <w:sz w:val="22"/>
          <w:szCs w:val="22"/>
        </w:rPr>
        <w:t xml:space="preserve">Contexte : M. Marchal a 61 ans, TMI 30 %. Il détient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Un compte-titres (CTO) avec 50 000 € en actions, acheté en 2019, valeur actuelle 72 000 € (plus-value latente de 22 000 €)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Un contrat d'assurance-vie ouvert en 2015, valeur 45 000 €, dont 8 000 € de gains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Un PEA ouvert en 2020, valeur 30 000 €, dont 7 000 € de gains</w:t>
      </w:r>
    </w:p>
    <w:p>
      <w:pPr>
        <w:spacing w:after="80" w:before="80"/>
      </w:pPr>
      <w:r>
        <w:t xml:space="preserve"/>
      </w:r>
    </w:p>
    <w:p>
      <w:pPr>
        <w:spacing w:after="60" w:before="60"/>
      </w:pPr>
      <w:r>
        <w:rPr>
          <w:rFonts w:ascii="Times New Roman" w:cs="Times New Roman" w:eastAsia="Times New Roman" w:hAnsi="Times New Roman"/>
          <w:color w:val="1F2937"/>
          <w:sz w:val="22"/>
          <w:szCs w:val="22"/>
        </w:rPr>
        <w:t xml:space="preserve">Il envisage de liquider partiellement l'ensemble sur 3 ans. Travail demandé (sans viser l'exactitude fiscale complète, mais l'ordre de grandeur et la logique)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Estimez l'imposition sur les 22 000 € de plus-values CTO selon le PFU 2026</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Estimez l'imposition sur les 8 000 € de gains de l'assurance-vie (contrat &gt; 8 ans, TMI 30 %)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Estimez l'imposition sur les 7 000 € de gains du PEA (&gt; 5 ans)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Quelle enveloppe coûte le plus cher fiscalement ? Quelle leçon en tirez-vous pour la composition future d'un portefeuille orienté « horizon 7-8 ans » ?</w:t>
      </w:r>
    </w:p>
    <w:p>
      <w:pPr>
        <w:spacing w:after="80" w:before="80"/>
      </w:pPr>
      <w:r>
        <w:t xml:space="preserve"/>
      </w:r>
    </w:p>
    <w:p>
      <w:pPr>
        <w:spacing w:after="80" w:before="200"/>
      </w:pPr>
      <w:r>
        <w:rPr>
          <w:rFonts w:ascii="Times New Roman" w:cs="Times New Roman" w:eastAsia="Times New Roman" w:hAnsi="Times New Roman"/>
          <w:b/>
          <w:bCs/>
          <w:color w:val="1F2937"/>
          <w:sz w:val="26"/>
          <w:szCs w:val="26"/>
        </w:rPr>
        <w:t xml:space="preserve">Corrigé — Challenge</w:t>
      </w:r>
    </w:p>
    <w:p>
      <w:pPr>
        <w:shd w:color="F3F4F6" w:val="solid"/>
        <w:spacing w:after="120" w:before="120"/>
        <w:ind w:left="360" w:right="360"/>
      </w:pPr>
      <w:r>
        <w:rPr>
          <w:rFonts w:ascii="Times New Roman" w:cs="Times New Roman" w:eastAsia="Times New Roman" w:hAnsi="Times New Roman"/>
          <w:color w:val="1F2937"/>
          <w:sz w:val="22"/>
          <w:szCs w:val="22"/>
        </w:rPr>
        <w:t xml:space="preserve">CTO — Plus-values 22 000 € au PFU : IR 12,8 % = 2 816 € + Prélèvements sociaux 18,6 % = 4 092 € → Total : 6 908 €. Gain net après fiscalité : 15 092 €.</w:t>
      </w:r>
    </w:p>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Assurance-vie — Gains 8 000 €, contrat &gt; 8 ans, TMI 30 % : IR à 7,5 % (régime préférentiel) = 600 €. Mais l'abattement annuel de 4 600 € s'applique sur les gains : base imposable IR = 8 000 − 4 600 = 3 400 € → IR = 3 400 × 7,5 % = 255 €. Prélèvements sociaux : 8 000 × 18,6 % = 1 488 €. Total : 1 743 €. (Si les rachats sont étalés sur 3 ans, l'abattement de 4 600 € peut s'appliquer chaque année, réduisant encore l'imposition.)</w:t>
      </w:r>
    </w:p>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PEA — Gains 7 000 €, plan &gt; 5 ans : exonération IR totale. Prélèvements sociaux seuls : 7 000 × 18,6 % = 1 302 €.</w:t>
      </w:r>
    </w:p>
    <w:p>
      <w:pPr>
        <w:spacing w:after="80" w:before="80"/>
      </w:pPr>
      <w:r>
        <w:t xml:space="preserve"/>
      </w:r>
    </w:p>
    <w:p>
      <w:pPr>
        <w:shd w:color="F3F4F6" w:val="solid"/>
        <w:spacing w:after="120" w:before="120"/>
        <w:ind w:left="360" w:right="360"/>
      </w:pPr>
      <w:r>
        <w:rPr>
          <w:rFonts w:ascii="Times New Roman" w:cs="Times New Roman" w:eastAsia="Times New Roman" w:hAnsi="Times New Roman"/>
          <w:color w:val="1F2937"/>
          <w:sz w:val="22"/>
          <w:szCs w:val="22"/>
        </w:rPr>
        <w:t xml:space="preserve">Synthèse : le CTO est l'enveloppe la plus coûteuse fiscalement (6 908 €), soit près de 4× plus que le PEA (1 302 €) sur des gains comparables. L'assurance-vie, grâce à l'abattement, est très compétitive. Leçon : pour un horizon de 7-8 ans avec des placements en actions, privilégier PEA et assurance-vie comme enveloppes de capitalisation et réserver le CTO aux actifs non éligibles à ces enveloppes ou aux stratégies de trading court terme.</w:t>
      </w:r>
    </w:p>
    <w:p>
      <w:pPr>
        <w:spacing w:after="80" w:before="80"/>
      </w:pPr>
      <w:r>
        <w:t xml:space="preserve"/>
      </w:r>
    </w:p>
    <w:p>
      <w:pPr>
        <w:spacing w:after="60" w:before="60"/>
      </w:pPr>
      <w:r>
        <w:rPr>
          <w:rFonts w:ascii="Times New Roman" w:cs="Times New Roman" w:eastAsia="Times New Roman" w:hAnsi="Times New Roman"/>
          <w:color w:val="1F2937"/>
          <w:sz w:val="22"/>
          <w:szCs w:val="22"/>
        </w:rPr>
        <w:t xml:space="preserve">⚠️ Ces calculs sont des ordres de grandeur pédagogiques. La situation fiscale réelle de M. Marchal dépend de nombreux autres paramètres (autres revenus, charges déductibles, situation familiale). Ce challenge illustre des mécanismes, il ne constitue pas une recommandation personnalisée.</w:t>
      </w:r>
    </w:p>
    <w:p>
      <w:pPr>
        <w:spacing w:after="80" w:before="80"/>
      </w:pPr>
      <w:r>
        <w:t xml:space="preserve"/>
      </w:r>
    </w:p>
    <w:p>
      <w:pPr>
        <w:spacing w:after="100" w:before="100"/>
        <w:jc w:val="center"/>
      </w:pPr>
      <w:r>
        <w:rPr>
          <w:rFonts w:ascii="Courier New" w:cs="Courier New" w:eastAsia="Courier New" w:hAnsi="Courier New"/>
          <w:color w:val="BBBBBB"/>
          <w:sz w:val="18"/>
          <w:szCs w:val="18"/>
        </w:rPr>
        <w:t xml:space="preserve">────────────────────────────────────────────────────────────</w:t>
      </w:r>
    </w:p>
    <w:p>
      <w:pPr>
        <w:spacing w:after="120" w:before="300"/>
      </w:pPr>
      <w:r>
        <w:rPr>
          <w:rFonts w:ascii="Times New Roman" w:cs="Times New Roman" w:eastAsia="Times New Roman" w:hAnsi="Times New Roman"/>
          <w:b/>
          <w:bCs/>
          <w:color w:val="1B3A6B"/>
          <w:sz w:val="30"/>
          <w:szCs w:val="30"/>
        </w:rPr>
        <w:t xml:space="preserve">🌉 Pont professionnel (optionnel)</w:t>
      </w:r>
    </w:p>
    <w:p>
      <w:pPr>
        <w:spacing w:after="60" w:before="60"/>
      </w:pPr>
      <w:r>
        <w:rPr>
          <w:rFonts w:ascii="Times New Roman" w:cs="Times New Roman" w:eastAsia="Times New Roman" w:hAnsi="Times New Roman"/>
          <w:color w:val="1F2937"/>
          <w:sz w:val="22"/>
          <w:szCs w:val="22"/>
        </w:rPr>
        <w:t xml:space="preserve">En tant que chef de service en ESSMS, vous gérez une équipe de 12 professionnels. La question de la rémunération nette est au cœur du dialogue social : un salarié qui comprend la différence entre revenu brut, net imposable et net après impôt est mieux outillé pour lire sa fiche de paie. Le mécanisme de la CSG (prélevée à la source sur les salaires aussi), des abattements et du barème progressif fait écho aux questions que les équipes soulèvent parfois lors des entretiens annuels. Cette culture financière de base contribue à des échanges plus informés sur les thèmes de rémunération et d'épargne salariale — sans jamais empiéter sur le rôle du conseiller financier.</w:t>
      </w:r>
    </w:p>
    <w:p>
      <w:pPr>
        <w:spacing w:after="80" w:before="80"/>
      </w:pPr>
      <w:r>
        <w:t xml:space="preserve"/>
      </w:r>
    </w:p>
    <w:p>
      <w:pPr>
        <w:spacing w:after="100" w:before="100"/>
        <w:jc w:val="center"/>
      </w:pPr>
      <w:r>
        <w:rPr>
          <w:rFonts w:ascii="Courier New" w:cs="Courier New" w:eastAsia="Courier New" w:hAnsi="Courier New"/>
          <w:color w:val="BBBBBB"/>
          <w:sz w:val="18"/>
          <w:szCs w:val="18"/>
        </w:rPr>
        <w:t xml:space="preserve">────────────────────────────────────────────────────────────</w:t>
      </w:r>
    </w:p>
    <w:p>
      <w:pPr>
        <w:spacing w:after="120" w:before="300"/>
      </w:pPr>
      <w:r>
        <w:rPr>
          <w:rFonts w:ascii="Times New Roman" w:cs="Times New Roman" w:eastAsia="Times New Roman" w:hAnsi="Times New Roman"/>
          <w:b/>
          <w:bCs/>
          <w:color w:val="1B3A6B"/>
          <w:sz w:val="30"/>
          <w:szCs w:val="30"/>
        </w:rPr>
        <w:t xml:space="preserve">📚 Ressources cliquables</w:t>
      </w:r>
    </w:p>
    <w:p>
      <w:pPr>
        <w:spacing w:after="60" w:before="60"/>
      </w:pPr>
      <w:r>
        <w:rPr>
          <w:rFonts w:ascii="Times New Roman" w:cs="Times New Roman" w:eastAsia="Times New Roman" w:hAnsi="Times New Roman"/>
          <w:color w:val="1F2937"/>
          <w:sz w:val="22"/>
          <w:szCs w:val="22"/>
        </w:rPr>
        <w:t xml:space="preserve">Sources consultées et vérifiées le 15 août 2026 :</w:t>
      </w:r>
    </w:p>
    <w:p>
      <w:pPr>
        <w:spacing w:after="80" w:before="80"/>
      </w:pPr>
      <w:r>
        <w:t xml:space="preserve"/>
      </w:r>
    </w:p>
    <w:p>
      <w:pPr>
        <w:pStyle w:val="ListParagraph"/>
        <w:numPr>
          <w:ilvl w:val="0"/>
          <w:numId w:val="1"/>
        </w:numPr>
        <w:spacing w:after="40" w:before="40"/>
      </w:pPr>
      <w:hyperlink w:history="1" r:id="rIdzat0fvwczp2floizepfhg">
        <w:r>
          <w:rPr>
            <w:rFonts w:ascii="Times New Roman" w:cs="Times New Roman" w:eastAsia="Times New Roman" w:hAnsi="Times New Roman"/>
            <w:color w:val="1155CC"/>
            <w:sz w:val="22"/>
            <w:szCs w:val="22"/>
            <w:u w:val="single"/>
          </w:rPr>
          <w:t xml:space="preserve">La Finance pour Tous — Le Prélèvement Forfaitaire Unique (PFU)</w:t>
        </w:r>
      </w:hyperlink>
    </w:p>
    <w:p>
      <w:pPr>
        <w:spacing w:after="80" w:before="20"/>
        <w:ind w:left="360"/>
      </w:pPr>
      <w:r>
        <w:rPr>
          <w:rFonts w:ascii="Times New Roman" w:cs="Times New Roman" w:eastAsia="Times New Roman" w:hAnsi="Times New Roman"/>
          <w:color w:val="1F2937"/>
          <w:sz w:val="22"/>
          <w:szCs w:val="22"/>
        </w:rPr>
        <w:t xml:space="preserve">Site de l'Institut pour l'Éducation Financière du Public (IEFP) — neutre et pédagogique. Explication du PFU, de ses composantes et des cas où le barème progressif peut être préférable.</w:t>
      </w:r>
    </w:p>
    <w:p>
      <w:pPr>
        <w:spacing w:after="80" w:before="80"/>
      </w:pPr>
      <w:r>
        <w:t xml:space="preserve"/>
      </w:r>
    </w:p>
    <w:p>
      <w:pPr>
        <w:pStyle w:val="ListParagraph"/>
        <w:numPr>
          <w:ilvl w:val="0"/>
          <w:numId w:val="1"/>
        </w:numPr>
        <w:spacing w:after="40" w:before="40"/>
      </w:pPr>
      <w:hyperlink w:history="1" r:id="rIddkjd8s4hqvw7oeeeydoik">
        <w:r>
          <w:rPr>
            <w:rFonts w:ascii="Times New Roman" w:cs="Times New Roman" w:eastAsia="Times New Roman" w:hAnsi="Times New Roman"/>
            <w:color w:val="1155CC"/>
            <w:sz w:val="22"/>
            <w:szCs w:val="22"/>
            <w:u w:val="single"/>
          </w:rPr>
          <w:t xml:space="preserve">Impots.gouv.fr — Les revenus mobiliers</w:t>
        </w:r>
      </w:hyperlink>
    </w:p>
    <w:p>
      <w:pPr>
        <w:spacing w:after="80" w:before="20"/>
        <w:ind w:left="360"/>
      </w:pPr>
      <w:r>
        <w:rPr>
          <w:rFonts w:ascii="Times New Roman" w:cs="Times New Roman" w:eastAsia="Times New Roman" w:hAnsi="Times New Roman"/>
          <w:color w:val="1F2937"/>
          <w:sz w:val="22"/>
          <w:szCs w:val="22"/>
        </w:rPr>
        <w:t xml:space="preserve">Source primaire officielle. Présente le PFU, la retenue à la source, l'option barème progressif (case 2OP), les seuils d'exonération de la retenue et les produits exonérés.</w:t>
      </w:r>
    </w:p>
    <w:p>
      <w:pPr>
        <w:spacing w:after="80" w:before="80"/>
      </w:pPr>
      <w:r>
        <w:t xml:space="preserve"/>
      </w:r>
    </w:p>
    <w:p>
      <w:pPr>
        <w:pStyle w:val="ListParagraph"/>
        <w:numPr>
          <w:ilvl w:val="0"/>
          <w:numId w:val="1"/>
        </w:numPr>
        <w:spacing w:after="40" w:before="40"/>
      </w:pPr>
      <w:hyperlink w:history="1" r:id="rIdi7liriyx2jzuaiz-_p3kb">
        <w:r>
          <w:rPr>
            <w:rFonts w:ascii="Times New Roman" w:cs="Times New Roman" w:eastAsia="Times New Roman" w:hAnsi="Times New Roman"/>
            <w:color w:val="1155CC"/>
            <w:sz w:val="22"/>
            <w:szCs w:val="22"/>
            <w:u w:val="single"/>
          </w:rPr>
          <w:t xml:space="preserve">Service-Public.fr — F2329 : Prélèvements sociaux sur les revenus du capital</w:t>
        </w:r>
      </w:hyperlink>
    </w:p>
    <w:p>
      <w:pPr>
        <w:spacing w:after="80" w:before="20"/>
        <w:ind w:left="360"/>
      </w:pPr>
      <w:r>
        <w:rPr>
          <w:rFonts w:ascii="Times New Roman" w:cs="Times New Roman" w:eastAsia="Times New Roman" w:hAnsi="Times New Roman"/>
          <w:color w:val="1F2937"/>
          <w:sz w:val="22"/>
          <w:szCs w:val="22"/>
        </w:rPr>
        <w:t xml:space="preserve">Source officielle. Détaille la composition des prélèvements sociaux (CSG 10,6 % + CRDS 0,5 % + prélèvement de solidarité 7,5 % = 18,6 % en 2026) et les revenus concernés.</w:t>
      </w:r>
    </w:p>
    <w:p>
      <w:pPr>
        <w:spacing w:after="80" w:before="80"/>
      </w:pPr>
      <w:r>
        <w:t xml:space="preserve"/>
      </w:r>
    </w:p>
    <w:p>
      <w:pPr>
        <w:pStyle w:val="ListParagraph"/>
        <w:numPr>
          <w:ilvl w:val="0"/>
          <w:numId w:val="1"/>
        </w:numPr>
        <w:spacing w:after="40" w:before="40"/>
      </w:pPr>
      <w:hyperlink w:history="1" r:id="rIdzgqyzxx8poq9imvjidmeg">
        <w:r>
          <w:rPr>
            <w:rFonts w:ascii="Times New Roman" w:cs="Times New Roman" w:eastAsia="Times New Roman" w:hAnsi="Times New Roman"/>
            <w:color w:val="1155CC"/>
            <w:sz w:val="22"/>
            <w:szCs w:val="22"/>
            <w:u w:val="single"/>
          </w:rPr>
          <w:t xml:space="preserve">AMF — Espace Épargnants</w:t>
        </w:r>
      </w:hyperlink>
    </w:p>
    <w:p>
      <w:pPr>
        <w:spacing w:after="80" w:before="20"/>
        <w:ind w:left="360"/>
      </w:pPr>
      <w:r>
        <w:rPr>
          <w:rFonts w:ascii="Times New Roman" w:cs="Times New Roman" w:eastAsia="Times New Roman" w:hAnsi="Times New Roman"/>
          <w:color w:val="1F2937"/>
          <w:sz w:val="22"/>
          <w:szCs w:val="22"/>
        </w:rPr>
        <w:t xml:space="preserve">Site du régulateur (Autorité des marchés financiers). Ressources pédagogiques sur les produits financiers, les droits des épargnants, les alertes et la protection contre les arnaques.</w:t>
      </w:r>
    </w:p>
    <w:p>
      <w:pPr>
        <w:spacing w:after="80" w:before="80"/>
      </w:pPr>
      <w:r>
        <w:t xml:space="preserve"/>
      </w:r>
    </w:p>
    <w:p>
      <w:pPr>
        <w:pStyle w:val="ListParagraph"/>
        <w:numPr>
          <w:ilvl w:val="0"/>
          <w:numId w:val="1"/>
        </w:numPr>
        <w:spacing w:after="40" w:before="40"/>
      </w:pPr>
      <w:hyperlink w:history="1" r:id="rIdgviaqrx508qykj_mokyq4">
        <w:r>
          <w:rPr>
            <w:rFonts w:ascii="Times New Roman" w:cs="Times New Roman" w:eastAsia="Times New Roman" w:hAnsi="Times New Roman"/>
            <w:color w:val="1155CC"/>
            <w:sz w:val="22"/>
            <w:szCs w:val="22"/>
            <w:u w:val="single"/>
          </w:rPr>
          <w:t xml:space="preserve">ABE Info Service — Assurance Banque Épargne Info Service</w:t>
        </w:r>
      </w:hyperlink>
    </w:p>
    <w:p>
      <w:pPr>
        <w:spacing w:after="80" w:before="20"/>
        <w:ind w:left="360"/>
      </w:pPr>
      <w:r>
        <w:rPr>
          <w:rFonts w:ascii="Times New Roman" w:cs="Times New Roman" w:eastAsia="Times New Roman" w:hAnsi="Times New Roman"/>
          <w:color w:val="1F2937"/>
          <w:sz w:val="22"/>
          <w:szCs w:val="22"/>
        </w:rPr>
        <w:t xml:space="preserve">⚠️ Vérification automatique bloquée (403 — anti-robot), mais la page est probablement accessible depuis un navigateur. Service commun AMF/ACPR de renseignement pour les épargnants et les assurés.</w:t>
      </w:r>
    </w:p>
    <w:p>
      <w:pPr>
        <w:spacing w:after="80" w:before="80"/>
      </w:pPr>
      <w:r>
        <w:t xml:space="preserve"/>
      </w:r>
    </w:p>
    <w:p>
      <w:pPr>
        <w:spacing w:after="100" w:before="100"/>
        <w:jc w:val="center"/>
      </w:pPr>
      <w:r>
        <w:rPr>
          <w:rFonts w:ascii="Courier New" w:cs="Courier New" w:eastAsia="Courier New" w:hAnsi="Courier New"/>
          <w:color w:val="BBBBBB"/>
          <w:sz w:val="18"/>
          <w:szCs w:val="18"/>
        </w:rPr>
        <w:t xml:space="preserve">────────────────────────────────────────────────────────────</w:t>
      </w:r>
    </w:p>
    <w:p>
      <w:pPr>
        <w:spacing w:after="120" w:before="300"/>
      </w:pPr>
      <w:r>
        <w:rPr>
          <w:rFonts w:ascii="Times New Roman" w:cs="Times New Roman" w:eastAsia="Times New Roman" w:hAnsi="Times New Roman"/>
          <w:b/>
          <w:bCs/>
          <w:color w:val="1B3A6B"/>
          <w:sz w:val="30"/>
          <w:szCs w:val="30"/>
        </w:rPr>
        <w:t xml:space="preserve">👤 Pour aller plus loin avec un professionnel</w:t>
      </w:r>
    </w:p>
    <w:p>
      <w:pPr>
        <w:spacing w:after="60" w:before="60"/>
      </w:pPr>
      <w:r>
        <w:rPr>
          <w:rFonts w:ascii="Times New Roman" w:cs="Times New Roman" w:eastAsia="Times New Roman" w:hAnsi="Times New Roman"/>
          <w:color w:val="1F2937"/>
          <w:sz w:val="22"/>
          <w:szCs w:val="22"/>
        </w:rPr>
        <w:t xml:space="preserve">Questions concrètes à poser à un conseiller en gestion de patrimoine (CGP) ou CIF agréé AMF :</w:t>
      </w:r>
    </w:p>
    <w:p>
      <w:pPr>
        <w:spacing w:after="80" w:before="80"/>
      </w:pPr>
      <w:r>
        <w:t xml:space="preserve"/>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 Compte tenu de ma TMI et de la composition de mes revenus du capital (intérêts, dividendes, plus-values), a-t-il été avantageux pour moi de cocher la case 2OP ces dernières années, et l'est-il encore ?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 À mon horizon de placement de 7-8 ans, quelle répartition entre CTO, PEA et assurance-vie minimise la fiscalité globale à la sortie, en tenant compte des plafonds et des frais ?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 Comment la hausse des prélèvements sociaux à 18,6 % en 2026 modifie-t-elle l'avantage comparatif du PEA par rapport au CTO dans mon cas précis ? »</w:t>
      </w:r>
    </w:p>
    <w:p>
      <w:pPr>
        <w:spacing w:after="80" w:before="80"/>
      </w:pPr>
      <w:r>
        <w:t xml:space="preserve"/>
      </w:r>
    </w:p>
    <w:p>
      <w:pPr>
        <w:spacing w:after="100" w:before="100"/>
        <w:jc w:val="center"/>
      </w:pPr>
      <w:r>
        <w:rPr>
          <w:rFonts w:ascii="Courier New" w:cs="Courier New" w:eastAsia="Courier New" w:hAnsi="Courier New"/>
          <w:color w:val="BBBBBB"/>
          <w:sz w:val="18"/>
          <w:szCs w:val="18"/>
        </w:rPr>
        <w:t xml:space="preserve">────────────────────────────────────────────────────────────</w:t>
      </w:r>
    </w:p>
    <w:p>
      <w:pPr>
        <w:spacing w:after="120" w:before="300"/>
      </w:pPr>
      <w:r>
        <w:rPr>
          <w:rFonts w:ascii="Times New Roman" w:cs="Times New Roman" w:eastAsia="Times New Roman" w:hAnsi="Times New Roman"/>
          <w:b/>
          <w:bCs/>
          <w:color w:val="1B3A6B"/>
          <w:sz w:val="30"/>
          <w:szCs w:val="30"/>
        </w:rPr>
        <w:t xml:space="preserve">🔜 Prochaine leçon</w:t>
      </w:r>
    </w:p>
    <w:p>
      <w:pPr>
        <w:spacing w:after="60" w:before="60"/>
      </w:pPr>
      <w:r>
        <w:rPr>
          <w:rFonts w:ascii="Times New Roman" w:cs="Times New Roman" w:eastAsia="Times New Roman" w:hAnsi="Times New Roman"/>
          <w:color w:val="1F2937"/>
          <w:sz w:val="22"/>
          <w:szCs w:val="22"/>
        </w:rPr>
        <w:t xml:space="preserve">Leçon n°11 / 20 — L'épargne salariale : PEE, PERECO, intéressement, abondement</w:t>
      </w:r>
    </w:p>
    <w:p>
      <w:pPr>
        <w:spacing w:after="60" w:before="60"/>
      </w:pPr>
      <w:r>
        <w:rPr>
          <w:rFonts w:ascii="Times New Roman" w:cs="Times New Roman" w:eastAsia="Times New Roman" w:hAnsi="Times New Roman"/>
          <w:color w:val="1F2937"/>
          <w:sz w:val="22"/>
          <w:szCs w:val="22"/>
        </w:rPr>
        <w:t xml:space="preserve">Au programme : comment fonctionne l'épargne salariale en entreprise, à quoi servent le Plan d'Épargne Entreprise (PEE) et le PERECO, et quel intérêt présente l'abondement employeur pour maximiser un placement à moindre coût fiscal.</w:t>
      </w:r>
    </w:p>
    <w:p>
      <w:pPr>
        <w:spacing w:after="80" w:before="80"/>
      </w:pPr>
      <w:r>
        <w:t xml:space="preserve"/>
      </w:r>
    </w:p>
    <w:p>
      <w:pPr>
        <w:spacing w:after="100" w:before="100"/>
        <w:jc w:val="center"/>
      </w:pPr>
      <w:r>
        <w:rPr>
          <w:rFonts w:ascii="Courier New" w:cs="Courier New" w:eastAsia="Courier New" w:hAnsi="Courier New"/>
          <w:color w:val="BBBBBB"/>
          <w:sz w:val="18"/>
          <w:szCs w:val="18"/>
        </w:rPr>
        <w:t xml:space="preserve">────────────────────────────────────────────────────────────</w:t>
      </w:r>
    </w:p>
    <w:p>
      <w:pPr>
        <w:spacing w:before="320" w:after="120"/>
      </w:pPr>
      <w:r>
        <w:rPr>
          <w:b/>
          <w:bCs/>
          <w:color w:val="1B3A6B"/>
          <w:sz w:val="28"/>
          <w:szCs w:val="28"/>
        </w:rPr>
        <w:t xml:space="preserve">📝 Journal des corrections</w:t>
      </w:r>
    </w:p>
    <w:p>
      <w:pPr>
        <w:pBdr>
          <w:left w:val="single" w:sz="18" w:space="8" w:color="1B3A6B"/>
        </w:pBdr>
        <w:shd w:val="clear" w:color="auto" w:fill="EEF2F7"/>
        <w:spacing w:before="40" w:after="40"/>
        <w:ind w:left="280"/>
      </w:pPr>
      <w:r>
        <w:rPr>
          <w:color w:val="1F2937"/>
          <w:sz w:val="20"/>
          <w:szCs w:val="20"/>
        </w:rPr>
        <w:t xml:space="preserve">Leçon produite le 15/08/2026, corrigée le même jour après vérification des taux auprès des sources officielles. Les corrections sont fondues dans le texte ; la formulation d'origine est conservée ici.</w:t>
      </w:r>
    </w:p>
    <w:p>
      <w:pPr>
        <w:pBdr>
          <w:left w:val="single" w:sz="18" w:space="8" w:color="1B3A6B"/>
        </w:pBdr>
        <w:shd w:val="clear" w:color="auto" w:fill="EEF2F7"/>
        <w:spacing w:before="120" w:after="40"/>
        <w:ind w:left="280"/>
      </w:pPr>
      <w:r>
        <w:rPr>
          <w:b/>
          <w:bCs/>
          <w:color w:val="1F2937"/>
          <w:sz w:val="20"/>
          <w:szCs w:val="20"/>
        </w:rPr>
        <w:t xml:space="preserve">1. Universalité du taux de 18,6 %.</w:t>
      </w:r>
    </w:p>
    <w:p>
      <w:pPr>
        <w:pBdr>
          <w:left w:val="single" w:sz="18" w:space="8" w:color="1B3A6B"/>
        </w:pBdr>
        <w:shd w:val="clear" w:color="auto" w:fill="EEF2F7"/>
        <w:spacing w:before="40" w:after="40"/>
        <w:ind w:left="280"/>
      </w:pPr>
      <w:r>
        <w:rPr>
          <w:color w:val="1F2937"/>
          <w:sz w:val="20"/>
          <w:szCs w:val="20"/>
        </w:rPr>
        <w:t xml:space="preserve">La section 5 énonçait que les prélèvements sociaux s'appliquent « quel que soit le régime fiscal choisi », sans mentionner d'exception. La formule visait le choix PFU/barème — exact sur ce point — mais laissait entendre que 18,6 % s'applique à tous les produits. C'est inexact : l'assurance-vie, les CEL et PEL antérieurs à 2018 et les PEP conservent 17,2 %.</w:t>
      </w:r>
    </w:p>
    <w:p>
      <w:pPr>
        <w:pBdr>
          <w:left w:val="single" w:sz="18" w:space="8" w:color="1B3A6B"/>
        </w:pBdr>
        <w:shd w:val="clear" w:color="auto" w:fill="EEF2F7"/>
        <w:spacing w:before="120" w:after="40"/>
        <w:ind w:left="280"/>
      </w:pPr>
      <w:r>
        <w:rPr>
          <w:b/>
          <w:bCs/>
          <w:color w:val="1F2937"/>
          <w:sz w:val="20"/>
          <w:szCs w:val="20"/>
        </w:rPr>
        <w:t xml:space="preserve">2. Assurance-vie de plus de 8 ans.</w:t>
      </w:r>
    </w:p>
    <w:p>
      <w:pPr>
        <w:pBdr>
          <w:left w:val="single" w:sz="18" w:space="8" w:color="1B3A6B"/>
        </w:pBdr>
        <w:shd w:val="clear" w:color="auto" w:fill="EEF2F7"/>
        <w:spacing w:before="40" w:after="40"/>
        <w:ind w:left="280"/>
      </w:pPr>
      <w:r>
        <w:rPr>
          <w:color w:val="1F2937"/>
          <w:sz w:val="20"/>
          <w:szCs w:val="20"/>
        </w:rPr>
        <w:t xml:space="preserve">La section 6 indiquait « IR à 7,5 % (au lieu de 12,8 %) » sans corriger le taux social. Combinée à la section 5, cette ligne conduisait à calculer 7,5 + 18,6 = 26,1 %. Le taux réel est 7,5 + 17,2 = 24,7 %. L'écart de 1,4 point portait sur l'enveloppe la plus détenue en France, traitée par la leçon 06 de ce parcours.</w:t>
      </w:r>
    </w:p>
    <w:p>
      <w:pPr>
        <w:pBdr>
          <w:left w:val="single" w:sz="18" w:space="8" w:color="1B3A6B"/>
        </w:pBdr>
        <w:shd w:val="clear" w:color="auto" w:fill="EEF2F7"/>
        <w:spacing w:before="120" w:after="40"/>
        <w:ind w:left="280"/>
      </w:pPr>
      <w:r>
        <w:rPr>
          <w:b/>
          <w:bCs/>
          <w:color w:val="1F2937"/>
          <w:sz w:val="20"/>
          <w:szCs w:val="20"/>
        </w:rPr>
        <w:t xml:space="preserve">3. PEA et règles transitoires.</w:t>
      </w:r>
    </w:p>
    <w:p>
      <w:pPr>
        <w:pBdr>
          <w:left w:val="single" w:sz="18" w:space="8" w:color="1B3A6B"/>
        </w:pBdr>
        <w:shd w:val="clear" w:color="auto" w:fill="EEF2F7"/>
        <w:spacing w:before="40" w:after="40"/>
        <w:ind w:left="280"/>
      </w:pPr>
      <w:r>
        <w:rPr>
          <w:color w:val="1F2937"/>
          <w:sz w:val="20"/>
          <w:szCs w:val="20"/>
        </w:rPr>
        <w:t xml:space="preserve">La mention « prélèvements sociaux (18,6 %) seuls » vaut pour les PEA ouverts depuis 2018. Les plans antérieurs relèvent de taux historiques par période de détention, ce que la leçon ne signalait pas.</w:t>
      </w:r>
    </w:p>
    <w:p>
      <w:pPr>
        <w:pBdr>
          <w:left w:val="single" w:sz="18" w:space="8" w:color="1B3A6B"/>
        </w:pBdr>
        <w:shd w:val="clear" w:color="auto" w:fill="EEF2F7"/>
        <w:spacing w:before="40" w:after="40"/>
        <w:ind w:left="280"/>
      </w:pPr>
      <w:r>
        <w:rPr>
          <w:color w:val="1F2937"/>
          <w:sz w:val="20"/>
          <w:szCs w:val="20"/>
        </w:rPr>
        <w:t xml:space="preserve">4. Revenus du patrimoine. La première version de cette correction listait les produits de placement dérogatoires sans poser la distinction de catégorie, qui est pourtant la clé de lecture : la fiche F2329 traite les revenus du patrimoine et les revenus de placement dans deux tableaux séparés, et seule la seconde catégorie subit la hausse de CSG. Complété le 15/08/2026. — Vérifié le 15/08/2026 et inchangé : PFU de droit commun à 31,4 % (12,8 % + 18,6 %), composition des prélèvements sociaux (CSG 10,6 % · CRDS 0,5 % · solidarité 7,5 %), hausse de la CSG de 9,2 % à 10,6 %, CSG déductible de 6,8 % sous option barème, abattement de 40 % sur dividendes, seuils de dispense d'acompte (25 000 € / 50 000 €). Sources : impots.gouv.fr — Les revenus mobiliers ; service-public.gouv.fr — fiche F2329.</w:t>
      </w:r>
    </w:p>
    <w:p>
      <w:pPr>
        <w:spacing w:after="60" w:before="200"/>
        <w:jc w:val="center"/>
      </w:pPr>
      <w:r>
        <w:rPr>
          <w:rFonts w:ascii="Times New Roman" w:cs="Times New Roman" w:eastAsia="Times New Roman" w:hAnsi="Times New Roman"/>
          <w:i/>
          <w:iCs/>
          <w:color w:val="888888"/>
          <w:sz w:val="18"/>
          <w:szCs w:val="18"/>
        </w:rPr>
        <w:t xml:space="preserve">Parcours Placement financier — Éducation financière générale · Leçon 10/20 · Ce document ne constitue pas un conseil en investissement ·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at0fvwczp2floizepfhg" Type="http://schemas.openxmlformats.org/officeDocument/2006/relationships/hyperlink" Target="https://www.lafinancepourtous.com/decryptages/impots-et-taxes/impot-sur-le-revenu/prelevement-forfaitaire-unique/" TargetMode="External"/><Relationship Id="rIddkjd8s4hqvw7oeeeydoik" Type="http://schemas.openxmlformats.org/officeDocument/2006/relationships/hyperlink" Target="https://www.impots.gouv.fr/particulier/les-revenus-mobiliers" TargetMode="External"/><Relationship Id="rIdi7liriyx2jzuaiz-_p3kb" Type="http://schemas.openxmlformats.org/officeDocument/2006/relationships/hyperlink" Target="https://www.service-public.fr/particuliers/vosdroits/F2329" TargetMode="External"/><Relationship Id="rIdzgqyzxx8poq9imvjidmeg" Type="http://schemas.openxmlformats.org/officeDocument/2006/relationships/hyperlink" Target="https://www.amf-france.org/fr/espace-epargnants" TargetMode="External"/><Relationship Id="rIdgviaqrx508qykj_mokyq4" Type="http://schemas.openxmlformats.org/officeDocument/2006/relationships/hyperlink" Target="https://www.abe-infoservice.fr/"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Placement financier n°10 — Fiscalité des revenus du capital</dc:title>
  <dc:creator>Claude Code — Job placement-financier-lecon</dc:creator>
  <dc:description>Parcours Placement financier — Leçon 10/20</dc:description>
  <cp:lastModifiedBy>Un-named</cp:lastModifiedBy>
  <cp:revision>1</cp:revision>
  <dcterms:created xsi:type="dcterms:W3CDTF">2026-08-15T06:09:09.661Z</dcterms:created>
  <dcterms:modified xsi:type="dcterms:W3CDTF">2026-08-15T06:09:09.677Z</dcterms:modified>
</cp:coreProperties>
</file>

<file path=docProps/custom.xml><?xml version="1.0" encoding="utf-8"?>
<Properties xmlns="http://schemas.openxmlformats.org/officeDocument/2006/custom-properties" xmlns:vt="http://schemas.openxmlformats.org/officeDocument/2006/docPropsVTypes"/>
</file>