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B3A6B"/>
          <w:sz w:val="52"/>
          <w:szCs w:val="52"/>
        </w:rPr>
        <w:t xml:space="preserve">Leçon Ennéagramme n°19 — Ce que la recherche établit</w:t>
      </w:r>
    </w:p>
    <w:p>
      <w:pPr>
        <w:spacing w:after="60"/>
        <w:jc w:val="center"/>
      </w:pPr>
      <w:r>
        <w:rPr>
          <w:rFonts w:ascii="Times New Roman" w:cs="Times New Roman" w:eastAsia="Times New Roman" w:hAnsi="Times New Roman"/>
          <w:b/>
          <w:bCs/>
          <w:color w:val="1B3A6B"/>
          <w:sz w:val="36"/>
          <w:szCs w:val="36"/>
        </w:rPr>
        <w:t xml:space="preserve">Validité, critiques et statut épistémique du modèle</w:t>
      </w:r>
    </w:p>
    <w:p>
      <w:pPr>
        <w:spacing w:after="60"/>
        <w:jc w:val="center"/>
      </w:pPr>
      <w:r>
        <w:rPr>
          <w:rFonts w:ascii="Times New Roman" w:cs="Times New Roman" w:eastAsia="Times New Roman" w:hAnsi="Times New Roman"/>
          <w:i/>
          <w:iCs/>
          <w:color w:val="6B7280"/>
          <w:sz w:val="22"/>
          <w:szCs w:val="22"/>
        </w:rPr>
        <w:t xml:space="preserve">7 octobre 2026  ·  Leçon 19 / 20</w:t>
      </w:r>
    </w:p>
    <w:p>
      <w:pPr>
        <w:spacing w:after="160"/>
      </w:pPr>
    </w:p>
    <w:p>
      <w:pPr>
        <w:spacing w:after="100" w:before="32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color w:val="1F2937"/>
          <w:sz w:val="22"/>
          <w:szCs w:val="22"/>
        </w:rPr>
        <w:t xml:space="preserve">À la fin de cette leçon, tu seras en mesure de distinguer ce que la recherche empirique a effectivement établi sur l'ennéagramme de ce qui relève de l'usage courant, de la conviction personnelle ou de la construction théorique non testée. Tu sauras identifier les affirmations solides, les affirmations mitigées et les affirmations non étayées.</w:t>
      </w:r>
    </w:p>
    <w:p>
      <w:pPr>
        <w:spacing w:after="120"/>
      </w:pPr>
      <w:r>
        <w:rPr>
          <w:rFonts w:ascii="Times New Roman" w:cs="Times New Roman" w:eastAsia="Times New Roman" w:hAnsi="Times New Roman"/>
          <w:color w:val="1F2937"/>
          <w:sz w:val="22"/>
          <w:szCs w:val="22"/>
        </w:rPr>
        <w:t xml:space="preserve">Continuité : la leçon 18 a examiné les risques d'un usage professionnel de l'ennéagramme (recrutement, évaluation, étiquetage). Avant de boucler le parcours, il est indispensable de poser la question que toutes les leçons précédentes présupposaient : de quoi l'ennéagramme est-il réellement la connaissance ?</w:t>
      </w:r>
    </w:p>
    <w:p>
      <w:pPr>
        <w:spacing w:after="160"/>
      </w:pPr>
    </w:p>
    <w:p>
      <w:pPr>
        <w:spacing w:after="100" w:before="320"/>
      </w:pPr>
      <w:r>
        <w:rPr>
          <w:rFonts w:ascii="Times New Roman" w:cs="Times New Roman" w:eastAsia="Times New Roman" w:hAnsi="Times New Roman"/>
          <w:b/>
          <w:bCs/>
          <w:color w:val="1B3A6B"/>
          <w:sz w:val="30"/>
          <w:szCs w:val="30"/>
        </w:rPr>
        <w:t xml:space="preserve">🔬 Théorie (20 %) — Ce que la recherche dit vraiment</w:t>
      </w:r>
    </w:p>
    <w:p>
      <w:pPr>
        <w:spacing w:after="80" w:before="200"/>
      </w:pPr>
      <w:r>
        <w:rPr>
          <w:rFonts w:ascii="Times New Roman" w:cs="Times New Roman" w:eastAsia="Times New Roman" w:hAnsi="Times New Roman"/>
          <w:b/>
          <w:bCs/>
          <w:color w:val="1F2937"/>
          <w:sz w:val="26"/>
          <w:szCs w:val="26"/>
        </w:rPr>
        <w:t xml:space="preserve">La seule revue systématique indépendante</w:t>
      </w:r>
    </w:p>
    <w:p>
      <w:pPr>
        <w:spacing w:after="120"/>
      </w:pPr>
      <w:r>
        <w:rPr>
          <w:rFonts w:ascii="Times New Roman" w:cs="Times New Roman" w:eastAsia="Times New Roman" w:hAnsi="Times New Roman"/>
          <w:color w:val="1F2937"/>
          <w:sz w:val="22"/>
          <w:szCs w:val="22"/>
        </w:rPr>
        <w:t xml:space="preserve">En 2021, Joshua N. Hook, Todd W. Hall, Don E. Davis, Daryl R. Van Tongeren et Micah Conner publient dans le Journal of Clinical Psychology la première revue systématique complète de la littérature empirique sur l'ennéagramme : Hook et al. (2021), « The Enneagram: A systematic review of the literature and directions for future research », Journal of Clinical Psychology, 77(4), 865–883.</w:t>
      </w:r>
    </w:p>
    <w:p>
      <w:pPr>
        <w:spacing w:after="120"/>
      </w:pPr>
      <w:r>
        <w:rPr>
          <w:rFonts w:ascii="Times New Roman" w:cs="Times New Roman" w:eastAsia="Times New Roman" w:hAnsi="Times New Roman"/>
          <w:color w:val="1F2937"/>
          <w:sz w:val="22"/>
          <w:szCs w:val="22"/>
        </w:rPr>
        <w:t xml:space="preserve">Périmètre de la revue : 104 échantillons indépendants recensés dans l'ensemble de la littérature disponible. Parmi eux : 49 études publiées (les 55 autres viennent de thèses, mémoires et communications), 70 études transversales, 2 seulement expérimentales, et 9 parues dans des revues de psychologie généraliste. C'est le volume total de la recherche disponible sur le sujet — pas une cohorte de participants.</w:t>
      </w:r>
    </w:p>
    <w:p>
      <w:pPr>
        <w:shd w:fill="F3F4F6" w:val="clear"/>
        <w:spacing w:after="140" w:before="100"/>
        <w:ind w:left="576" w:right="576"/>
      </w:pPr>
      <w:r>
        <w:rPr>
          <w:rFonts w:ascii="Times New Roman" w:cs="Times New Roman" w:eastAsia="Times New Roman" w:hAnsi="Times New Roman"/>
          <w:i/>
          <w:iCs/>
          <w:color w:val="1B3A6B"/>
          <w:sz w:val="22"/>
          <w:szCs w:val="22"/>
        </w:rPr>
        <w:t xml:space="preserve">« Mixed evidence of reliability and validity » — Hook et al. (2021), conclusion générale après analyse des 104 échantillons.</w:t>
      </w:r>
    </w:p>
    <w:p>
      <w:pPr>
        <w:spacing w:after="160"/>
      </w:pPr>
    </w:p>
    <w:p>
      <w:pPr>
        <w:spacing w:after="80" w:before="200"/>
      </w:pPr>
      <w:r>
        <w:rPr>
          <w:rFonts w:ascii="Times New Roman" w:cs="Times New Roman" w:eastAsia="Times New Roman" w:hAnsi="Times New Roman"/>
          <w:b/>
          <w:bCs/>
          <w:color w:val="1F2937"/>
          <w:sz w:val="26"/>
          <w:szCs w:val="26"/>
        </w:rPr>
        <w:t xml:space="preserve">Ce que la recherche soutient (partiellement)</w:t>
      </w:r>
    </w:p>
    <w:p>
      <w:pPr>
        <w:spacing w:after="120"/>
      </w:pPr>
      <w:r>
        <w:rPr>
          <w:rFonts w:ascii="Times New Roman" w:cs="Times New Roman" w:eastAsia="Times New Roman" w:hAnsi="Times New Roman"/>
          <w:color w:val="1F2937"/>
          <w:sz w:val="22"/>
          <w:szCs w:val="22"/>
        </w:rPr>
        <w:t xml:space="preserve">Corrélations avec le Big Five — les résultats les plus solides de la littérature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Type</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Corrélation Big Five la plus robuste</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Études sur total</w:t>
            </w:r>
          </w:p>
        </w:tc>
      </w:tr>
      <w:tr>
        <w:trPr>
          <w:tblHeader w:val="false"/>
        </w:trPr>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Type 1</w:t>
            </w:r>
          </w:p>
        </w:tc>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Conscienciosité (Conscientiousness)</w:t>
            </w:r>
          </w:p>
        </w:tc>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9 / 9</w:t>
            </w:r>
          </w:p>
        </w:tc>
      </w:tr>
      <w:tr>
        <w:trPr>
          <w:tblHeader w:val="false"/>
        </w:trPr>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Type 7</w:t>
            </w:r>
          </w:p>
        </w:tc>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Extraversion + Ouverture (Openness)</w:t>
            </w:r>
          </w:p>
        </w:tc>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9 / 9</w:t>
            </w:r>
          </w:p>
        </w:tc>
      </w:tr>
      <w:tr>
        <w:trPr>
          <w:tblHeader w:val="false"/>
        </w:trPr>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Type 4</w:t>
            </w:r>
          </w:p>
        </w:tc>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Neuroticisme (Neuroticism)</w:t>
            </w:r>
          </w:p>
        </w:tc>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8 / 9</w:t>
            </w:r>
          </w:p>
        </w:tc>
      </w:tr>
    </w:tbl>
    <w:p>
      <w:pPr>
        <w:spacing w:after="160"/>
      </w:pPr>
    </w:p>
    <w:p>
      <w:pPr>
        <w:spacing w:after="120"/>
      </w:pPr>
      <w:r>
        <w:rPr>
          <w:rFonts w:ascii="Times New Roman" w:cs="Times New Roman" w:eastAsia="Times New Roman" w:hAnsi="Times New Roman"/>
          <w:color w:val="1F2937"/>
          <w:sz w:val="22"/>
          <w:szCs w:val="22"/>
        </w:rPr>
        <w:t xml:space="preserve">Ces corrélations ne prouvent pas que neuf types distincts existent dans la nature. Elles montrent que les scores à l'ennéagramme capturent des traits de personnalité déjà mesurés par d'autres instruments — ce qui est utile, mais différent d'une validation du modèle.</w:t>
      </w:r>
    </w:p>
    <w:p>
      <w:pPr>
        <w:spacing w:after="120"/>
      </w:pPr>
      <w:r>
        <w:rPr>
          <w:rFonts w:ascii="Times New Roman" w:cs="Times New Roman" w:eastAsia="Times New Roman" w:hAnsi="Times New Roman"/>
          <w:color w:val="1F2937"/>
          <w:sz w:val="22"/>
          <w:szCs w:val="22"/>
        </w:rPr>
        <w:t xml:space="preserve">Fiabilité des instruments : le RHETI (Riso-Hudson Enneagram Type Indicator), étudié sur 287 participants en 2004, montre une consistance interne globalement adéquate et des corrélations test-retest de .72 à .94. Cependant, deux instruments différents attribuent le même type à la même personne dans seulement 42 % des cas.</w:t>
      </w:r>
    </w:p>
    <w:p>
      <w:pPr>
        <w:spacing w:after="160"/>
      </w:pPr>
    </w:p>
    <w:p>
      <w:pPr>
        <w:spacing w:after="80" w:before="200"/>
      </w:pPr>
      <w:r>
        <w:rPr>
          <w:rFonts w:ascii="Times New Roman" w:cs="Times New Roman" w:eastAsia="Times New Roman" w:hAnsi="Times New Roman"/>
          <w:b/>
          <w:bCs/>
          <w:color w:val="1F2937"/>
          <w:sz w:val="26"/>
          <w:szCs w:val="26"/>
        </w:rPr>
        <w:t xml:space="preserve">Ce que la recherche ne soutient pas</w:t>
      </w:r>
    </w:p>
    <w:p>
      <w:pPr>
        <w:spacing w:after="120"/>
      </w:pPr>
      <w:r>
        <w:rPr>
          <w:rFonts w:ascii="Times New Roman" w:cs="Times New Roman" w:eastAsia="Times New Roman" w:hAnsi="Times New Roman"/>
          <w:color w:val="1F2937"/>
          <w:sz w:val="22"/>
          <w:szCs w:val="22"/>
        </w:rPr>
        <w:t xml:space="preserve">Les affirmations suivantes n'ont pas de base empirique établie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Ailes et flèches : </w:t>
      </w:r>
      <w:r>
        <w:rPr>
          <w:rFonts w:ascii="Times New Roman" w:cs="Times New Roman" w:eastAsia="Times New Roman" w:hAnsi="Times New Roman"/>
          <w:color w:val="1F2937"/>
          <w:sz w:val="22"/>
          <w:szCs w:val="22"/>
        </w:rPr>
        <w:t xml:space="preserve">une seule étude empirique sur les ailes, qui ne trouve aucune confirmation. Deux études sur les flèches (mouvement intertype), aucune ne valide les prédictions théoriques.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Neurosciences et génétique : </w:t>
      </w:r>
      <w:r>
        <w:rPr>
          <w:rFonts w:ascii="Times New Roman" w:cs="Times New Roman" w:eastAsia="Times New Roman" w:hAnsi="Times New Roman"/>
          <w:color w:val="1F2937"/>
          <w:sz w:val="22"/>
          <w:szCs w:val="22"/>
        </w:rPr>
        <w:t xml:space="preserve">aucune preuve vérifiée d'un profil IRM, de neurotransmetteurs ou de marqueurs génétiques spécifiques à chaque type.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Applications cliniques : </w:t>
      </w:r>
      <w:r>
        <w:rPr>
          <w:rFonts w:ascii="Times New Roman" w:cs="Times New Roman" w:eastAsia="Times New Roman" w:hAnsi="Times New Roman"/>
          <w:color w:val="1F2937"/>
          <w:sz w:val="22"/>
          <w:szCs w:val="22"/>
        </w:rPr>
        <w:t xml:space="preserve">aucune preuve adéquate que les types prédisent les troubles psychiatriques ou la réponse aux traitements.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Prévalences par type : </w:t>
      </w:r>
      <w:r>
        <w:rPr>
          <w:rFonts w:ascii="Times New Roman" w:cs="Times New Roman" w:eastAsia="Times New Roman" w:hAnsi="Times New Roman"/>
          <w:color w:val="1F2937"/>
          <w:sz w:val="22"/>
          <w:szCs w:val="22"/>
        </w:rPr>
        <w:t xml:space="preserve">les pourcentages du style « 72 % des Type 6 souffrent de trouble anxieux généralisé » sont sans base vérifiée.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87 % de reconnaissance spontanée : </w:t>
      </w:r>
      <w:r>
        <w:rPr>
          <w:rFonts w:ascii="Times New Roman" w:cs="Times New Roman" w:eastAsia="Times New Roman" w:hAnsi="Times New Roman"/>
          <w:color w:val="1F2937"/>
          <w:sz w:val="22"/>
          <w:szCs w:val="22"/>
        </w:rPr>
        <w:t xml:space="preserve">une étude a montré que 87 % des participants pouvaient deviner leur propre type en lisant les descriptions avant même de passer le test — ce qui suggère un biais de confirmation plutôt qu'une validité prédictive.</w:t>
      </w:r>
    </w:p>
    <w:p>
      <w:pPr>
        <w:spacing w:after="160"/>
      </w:pPr>
    </w:p>
    <w:p>
      <w:pPr>
        <w:spacing w:after="80" w:before="200"/>
      </w:pPr>
      <w:r>
        <w:rPr>
          <w:rFonts w:ascii="Times New Roman" w:cs="Times New Roman" w:eastAsia="Times New Roman" w:hAnsi="Times New Roman"/>
          <w:b/>
          <w:bCs/>
          <w:color w:val="1F2937"/>
          <w:sz w:val="26"/>
          <w:szCs w:val="26"/>
        </w:rPr>
        <w:t xml:space="preserve">Le statut épistémique global</w:t>
      </w:r>
    </w:p>
    <w:p>
      <w:pPr>
        <w:spacing w:after="120"/>
      </w:pPr>
      <w:r>
        <w:rPr>
          <w:rFonts w:ascii="Times New Roman" w:cs="Times New Roman" w:eastAsia="Times New Roman" w:hAnsi="Times New Roman"/>
          <w:color w:val="1F2937"/>
          <w:sz w:val="22"/>
          <w:szCs w:val="22"/>
        </w:rPr>
        <w:t xml:space="preserve">Wikipedia classe explicitement l'ennéagramme comme pseudoscience (« a pseudoscientific model of the human psyche »). Un sondage Delphi de 2011 portant sur 101 psychologues de niveau doctoral l'a noté à 4,14/5 sur une échelle où 4 = « probablement discrédité » pour l'évaluation de la personnalité.</w:t>
      </w:r>
    </w:p>
    <w:p>
      <w:pPr>
        <w:spacing w:after="120"/>
      </w:pPr>
      <w:r>
        <w:rPr>
          <w:rFonts w:ascii="Times New Roman" w:cs="Times New Roman" w:eastAsia="Times New Roman" w:hAnsi="Times New Roman"/>
          <w:color w:val="1F2937"/>
          <w:sz w:val="22"/>
          <w:szCs w:val="22"/>
        </w:rPr>
        <w:t xml:space="preserve">Le scepticisme de la communauté académique repose sur deux points distincts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Absence de preuves : </w:t>
      </w:r>
      <w:r>
        <w:rPr>
          <w:rFonts w:ascii="Times New Roman" w:cs="Times New Roman" w:eastAsia="Times New Roman" w:hAnsi="Times New Roman"/>
          <w:color w:val="1F2937"/>
          <w:sz w:val="22"/>
          <w:szCs w:val="22"/>
        </w:rPr>
        <w:t xml:space="preserve">les analyses factorielles trouvent généralement moins de 9 facteurs ; aucune technique de regroupement (clustering) ne permet de faire émerger les 9 types à partir des données.</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Origine non empirique : </w:t>
      </w:r>
      <w:r>
        <w:rPr>
          <w:rFonts w:ascii="Times New Roman" w:cs="Times New Roman" w:eastAsia="Times New Roman" w:hAnsi="Times New Roman"/>
          <w:color w:val="1F2937"/>
          <w:sz w:val="22"/>
          <w:szCs w:val="22"/>
        </w:rPr>
        <w:t xml:space="preserve">les types ont été construits « top-down » par Ichazo à partir de traditions philosophiques et mystiques, puis adaptés par Naranjo et Riso-Hudson, sans dériver d'une observation quantifiée du comportement humain.</w:t>
      </w:r>
    </w:p>
    <w:p>
      <w:pPr>
        <w:spacing w:after="160"/>
      </w:pPr>
    </w:p>
    <w:p>
      <w:pPr>
        <w:spacing w:after="80" w:before="200"/>
      </w:pPr>
      <w:r>
        <w:rPr>
          <w:rFonts w:ascii="Times New Roman" w:cs="Times New Roman" w:eastAsia="Times New Roman" w:hAnsi="Times New Roman"/>
          <w:b/>
          <w:bCs/>
          <w:color w:val="1F2937"/>
          <w:sz w:val="26"/>
          <w:szCs w:val="26"/>
        </w:rPr>
        <w:t xml:space="preserve">Ce que cela ne signifie pas</w:t>
      </w:r>
    </w:p>
    <w:p>
      <w:pPr>
        <w:spacing w:after="120"/>
      </w:pPr>
      <w:r>
        <w:rPr>
          <w:rFonts w:ascii="Times New Roman" w:cs="Times New Roman" w:eastAsia="Times New Roman" w:hAnsi="Times New Roman"/>
          <w:color w:val="1F2937"/>
          <w:sz w:val="22"/>
          <w:szCs w:val="22"/>
        </w:rPr>
        <w:t xml:space="preserve">Un faible statut scientifique ne rend pas l'ennéagramme inutile. Ce parcours de 19 leçons en est lui-même la preuve : le modèle est un outil d'auto-observation qui peut aider à repérer des schémas de comportement, à nommer des mécanismes de défense, à enrichir la compréhension des dynamiques relationnelles.</w:t>
      </w:r>
    </w:p>
    <w:p>
      <w:pPr>
        <w:spacing w:after="120"/>
      </w:pPr>
      <w:r>
        <w:rPr>
          <w:rFonts w:ascii="Times New Roman" w:cs="Times New Roman" w:eastAsia="Times New Roman" w:hAnsi="Times New Roman"/>
          <w:color w:val="1F2937"/>
          <w:sz w:val="22"/>
          <w:szCs w:val="22"/>
        </w:rPr>
        <w:t xml:space="preserve">La distinction essentielle est celle-ci : utilité pratique pour la connaissance de soi (non contestée) ≠ validité scientifique comme instrument de mesure ou de prédiction (non établie). Confondre les deux est précisément ce que les garde-fous de ce parcours ont cherché à éviter dès la leçon 18.</w:t>
      </w:r>
    </w:p>
    <w:p>
      <w:pPr>
        <w:spacing w:after="160"/>
      </w:pPr>
    </w:p>
    <w:p>
      <w:pPr>
        <w:spacing w:after="100" w:before="320"/>
      </w:pPr>
      <w:r>
        <w:rPr>
          <w:rFonts w:ascii="Times New Roman" w:cs="Times New Roman" w:eastAsia="Times New Roman" w:hAnsi="Times New Roman"/>
          <w:b/>
          <w:bCs/>
          <w:color w:val="1B3A6B"/>
          <w:sz w:val="30"/>
          <w:szCs w:val="30"/>
        </w:rPr>
        <w:t xml:space="preserve">🛠️ Pratique (80 %) — Exercices d'apprentissage actif</w:t>
      </w:r>
    </w:p>
    <w:p>
      <w:pPr>
        <w:spacing w:after="80" w:before="200"/>
      </w:pPr>
      <w:r>
        <w:rPr>
          <w:rFonts w:ascii="Times New Roman" w:cs="Times New Roman" w:eastAsia="Times New Roman" w:hAnsi="Times New Roman"/>
          <w:b/>
          <w:bCs/>
          <w:color w:val="1F2937"/>
          <w:sz w:val="26"/>
          <w:szCs w:val="26"/>
        </w:rPr>
        <w:t xml:space="preserve">Exercice 1 — Déconstruire une affirmation (30 min)</w:t>
      </w:r>
    </w:p>
    <w:p>
      <w:pPr>
        <w:spacing w:after="120"/>
      </w:pPr>
      <w:r>
        <w:rPr>
          <w:rFonts w:ascii="Times New Roman" w:cs="Times New Roman" w:eastAsia="Times New Roman" w:hAnsi="Times New Roman"/>
          <w:color w:val="1F2937"/>
          <w:sz w:val="22"/>
          <w:szCs w:val="22"/>
        </w:rPr>
        <w:t xml:space="preserve">Choisis une phrase que tu as lue, entendue ou prononcée toi-même à propos de l'ennéagramme au cours de ce parcours. Une phrase du style « Le Type 5 a tendance à… », « Les flèches montrent que… » ou « En situation de stress, le Type X… ».</w:t>
      </w:r>
    </w:p>
    <w:p>
      <w:pPr>
        <w:spacing w:after="120"/>
      </w:pPr>
      <w:r>
        <w:rPr>
          <w:rFonts w:ascii="Times New Roman" w:cs="Times New Roman" w:eastAsia="Times New Roman" w:hAnsi="Times New Roman"/>
          <w:color w:val="1F2937"/>
          <w:sz w:val="22"/>
          <w:szCs w:val="22"/>
        </w:rPr>
        <w:t xml:space="preserve">Analyse-la en trois temps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1. Niveau de la phrase : </w:t>
      </w:r>
      <w:r>
        <w:rPr>
          <w:rFonts w:ascii="Times New Roman" w:cs="Times New Roman" w:eastAsia="Times New Roman" w:hAnsi="Times New Roman"/>
          <w:color w:val="1F2937"/>
          <w:sz w:val="22"/>
          <w:szCs w:val="22"/>
        </w:rPr>
        <w:t xml:space="preserve">s'agit-il d'une observation personnelle, d'une affirmation théorique du modèle, ou d'une affirmation empirique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2. Statut selon Hook et al. (2021) : </w:t>
      </w:r>
      <w:r>
        <w:rPr>
          <w:rFonts w:ascii="Times New Roman" w:cs="Times New Roman" w:eastAsia="Times New Roman" w:hAnsi="Times New Roman"/>
          <w:color w:val="1F2937"/>
          <w:sz w:val="22"/>
          <w:szCs w:val="22"/>
        </w:rPr>
        <w:t xml:space="preserve">est-elle dans la zone des corrélations établies (Big Five, test-retest), dans la zone mitigée, ou dans la zone non étayée (ailes, flèches, neurosciences)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3. Reformulation honnête : </w:t>
      </w:r>
      <w:r>
        <w:rPr>
          <w:rFonts w:ascii="Times New Roman" w:cs="Times New Roman" w:eastAsia="Times New Roman" w:hAnsi="Times New Roman"/>
          <w:color w:val="1F2937"/>
          <w:sz w:val="22"/>
          <w:szCs w:val="22"/>
        </w:rPr>
        <w:t xml:space="preserve">comment reformulerais-tu cette phrase en distinguant ce que tu as observé chez toi, ce que le modèle affirme et ce que la recherche peut ou non soutenir ?</w:t>
      </w:r>
    </w:p>
    <w:p>
      <w:pPr>
        <w:spacing w:after="120"/>
      </w:pPr>
      <w:r>
        <w:rPr>
          <w:rFonts w:ascii="Times New Roman" w:cs="Times New Roman" w:eastAsia="Times New Roman" w:hAnsi="Times New Roman"/>
          <w:color w:val="1F2937"/>
          <w:sz w:val="22"/>
          <w:szCs w:val="22"/>
        </w:rPr>
        <w:t xml:space="preserve">Écris la phrase d'origine, ton analyse en trois points et la reformulation. L'exercice n'est pas de démonter l'ennéagramme : c'est d'affiner le registre de tes affirmations.</w:t>
      </w:r>
    </w:p>
    <w:p>
      <w:pPr>
        <w:spacing w:after="160"/>
      </w:pPr>
    </w:p>
    <w:p>
      <w:pPr>
        <w:spacing w:after="80" w:before="200"/>
      </w:pPr>
      <w:r>
        <w:rPr>
          <w:rFonts w:ascii="Times New Roman" w:cs="Times New Roman" w:eastAsia="Times New Roman" w:hAnsi="Times New Roman"/>
          <w:b/>
          <w:bCs/>
          <w:color w:val="1F2937"/>
          <w:sz w:val="26"/>
          <w:szCs w:val="26"/>
        </w:rPr>
        <w:t xml:space="preserve">Exercice 2 — Tableau des niveaux de preuve (45 min)</w:t>
      </w:r>
    </w:p>
    <w:p>
      <w:pPr>
        <w:spacing w:after="120"/>
      </w:pPr>
      <w:r>
        <w:rPr>
          <w:rFonts w:ascii="Times New Roman" w:cs="Times New Roman" w:eastAsia="Times New Roman" w:hAnsi="Times New Roman"/>
          <w:color w:val="1F2937"/>
          <w:sz w:val="22"/>
          <w:szCs w:val="22"/>
        </w:rPr>
        <w:t xml:space="preserve">Voici dix affirmations courantes sur l'ennéagramme. Pour chacune, indique dans un tableau personnel : (a) ce que la revue de Hook et al. (2021) permet de dire, (b) ce que la source que tu as lue en disait, (c) ton niveau de certitude après relecture.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Affirmation</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Statut selon Hook et al.</w:t>
            </w:r>
          </w:p>
        </w:tc>
        <w:tc>
          <w:tcPr>
            <w:shd w:fill="1B3A6B" w:val="clear"/>
            <w:tcMar>
              <w:top w:type="dxa" w:w="80"/>
              <w:left w:type="dxa" w:w="100"/>
              <w:bottom w:type="dxa" w:w="80"/>
              <w:right w:type="dxa" w:w="100"/>
            </w:tcMar>
          </w:tcPr>
          <w:p>
            <w:r>
              <w:rPr>
                <w:rFonts w:ascii="Times New Roman" w:cs="Times New Roman" w:eastAsia="Times New Roman" w:hAnsi="Times New Roman"/>
                <w:b/>
                <w:bCs/>
                <w:color w:val="FFFFFF"/>
                <w:sz w:val="20"/>
                <w:szCs w:val="20"/>
              </w:rPr>
              <w:t xml:space="preserve">Certitude personnelle</w:t>
            </w:r>
          </w:p>
        </w:tc>
      </w:tr>
      <w:tr>
        <w:trPr>
          <w:tblHeader w:val="false"/>
        </w:trPr>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L'ennéagramme identifie 9 types de personnalité distincts</w:t>
            </w:r>
          </w:p>
        </w:tc>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Pas établi (&lt; 9 facteurs en analyse factorielle)</w:t>
            </w:r>
          </w:p>
        </w:tc>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À compléter</w:t>
            </w:r>
          </w:p>
        </w:tc>
      </w:tr>
      <w:tr>
        <w:trPr>
          <w:tblHeader w:val="false"/>
        </w:trPr>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Le Type 1 est lié à la conscienciosité</w:t>
            </w:r>
          </w:p>
        </w:tc>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Établi (9/9 études Big Five)</w:t>
            </w:r>
          </w:p>
        </w:tc>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À compléter</w:t>
            </w:r>
          </w:p>
        </w:tc>
      </w:tr>
      <w:tr>
        <w:trPr>
          <w:tblHeader w:val="false"/>
        </w:trPr>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En intégration, le Type 4 évolue vers les qualités du Type 1</w:t>
            </w:r>
          </w:p>
        </w:tc>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Non étayé (aucune étude valide les flèches)</w:t>
            </w:r>
          </w:p>
        </w:tc>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À compléter</w:t>
            </w:r>
          </w:p>
        </w:tc>
      </w:tr>
      <w:tr>
        <w:trPr>
          <w:tblHeader w:val="false"/>
        </w:trPr>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L'ennéagramme prédit les troubles psychiatriques par type</w:t>
            </w:r>
          </w:p>
        </w:tc>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Non étayé (aucune preuve adéquate)</w:t>
            </w:r>
          </w:p>
        </w:tc>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À compléter</w:t>
            </w:r>
          </w:p>
        </w:tc>
      </w:tr>
      <w:tr>
        <w:trPr>
          <w:tblHeader w:val="false"/>
        </w:trPr>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L'ennéagramme est utile pour la connaissance de soi</w:t>
            </w:r>
          </w:p>
        </w:tc>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Partiellement soutenu (petits effets, sans contrôle)</w:t>
            </w:r>
          </w:p>
        </w:tc>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À compléter</w:t>
            </w:r>
          </w:p>
        </w:tc>
      </w:tr>
      <w:tr>
        <w:trPr>
          <w:tblHeader w:val="false"/>
        </w:trPr>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Les instruments ennéagramme ont une bonne fiabilité</w:t>
            </w:r>
          </w:p>
        </w:tc>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Mitigé (RHETI ok, mais concordance inter-instruments : 42 %)</w:t>
            </w:r>
          </w:p>
        </w:tc>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À compléter</w:t>
            </w:r>
          </w:p>
        </w:tc>
      </w:tr>
      <w:tr>
        <w:trPr>
          <w:tblHeader w:val="false"/>
        </w:trPr>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Les ailes nuancent chaque type</w:t>
            </w:r>
          </w:p>
        </w:tc>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Non étayé (1 seule étude, sans confirmation)</w:t>
            </w:r>
          </w:p>
        </w:tc>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À compléter</w:t>
            </w:r>
          </w:p>
        </w:tc>
      </w:tr>
      <w:tr>
        <w:trPr>
          <w:tblHeader w:val="false"/>
        </w:trPr>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Le Type 7 est lié à l'extraversion</w:t>
            </w:r>
          </w:p>
        </w:tc>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Établi (9/9 études Big Five)</w:t>
            </w:r>
          </w:p>
        </w:tc>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À compléter</w:t>
            </w:r>
          </w:p>
        </w:tc>
      </w:tr>
      <w:tr>
        <w:trPr>
          <w:tblHeader w:val="false"/>
        </w:trPr>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L'ennéagramme est une pseudoscience</w:t>
            </w:r>
          </w:p>
        </w:tc>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Classé ainsi par Wikipedia et la communauté académique</w:t>
            </w:r>
          </w:p>
        </w:tc>
        <w:tc>
          <w:tcPr>
            <w:shd w:fill="FFFFFF"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À compléter</w:t>
            </w:r>
          </w:p>
        </w:tc>
      </w:tr>
      <w:tr>
        <w:trPr>
          <w:tblHeader w:val="false"/>
        </w:trPr>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L'ennéagramme aide à comprendre les conflits relationnels</w:t>
            </w:r>
          </w:p>
        </w:tc>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Partiellement soutenu (études sans groupe contrôle)</w:t>
            </w:r>
          </w:p>
        </w:tc>
        <w:tc>
          <w:tcPr>
            <w:shd w:fill="EEF2F7" w:val="clear"/>
            <w:tcMar>
              <w:top w:type="dxa" w:w="80"/>
              <w:left w:type="dxa" w:w="100"/>
              <w:bottom w:type="dxa" w:w="80"/>
              <w:right w:type="dxa" w:w="100"/>
            </w:tcMar>
          </w:tcPr>
          <w:p>
            <w:r>
              <w:rPr>
                <w:rFonts w:ascii="Times New Roman" w:cs="Times New Roman" w:eastAsia="Times New Roman" w:hAnsi="Times New Roman"/>
                <w:b w:val="false"/>
                <w:bCs w:val="false"/>
                <w:color w:val="1F2937"/>
                <w:sz w:val="20"/>
                <w:szCs w:val="20"/>
              </w:rPr>
              <w:t xml:space="preserve">À compléter</w:t>
            </w:r>
          </w:p>
        </w:tc>
      </w:tr>
    </w:tbl>
    <w:p>
      <w:pPr>
        <w:spacing w:after="160"/>
      </w:pPr>
    </w:p>
    <w:p>
      <w:pPr>
        <w:spacing w:after="120"/>
      </w:pPr>
      <w:r>
        <w:rPr>
          <w:rFonts w:ascii="Times New Roman" w:cs="Times New Roman" w:eastAsia="Times New Roman" w:hAnsi="Times New Roman"/>
          <w:color w:val="1F2937"/>
          <w:sz w:val="22"/>
          <w:szCs w:val="22"/>
        </w:rPr>
        <w:t xml:space="preserve">Pour chaque ligne, écris une phrase sur ce que tu feras différemment dans ton usage personnel du modèle au vu de ce niveau de preuve.</w:t>
      </w:r>
    </w:p>
    <w:p>
      <w:pPr>
        <w:spacing w:after="160"/>
      </w:pPr>
    </w:p>
    <w:p>
      <w:pPr>
        <w:spacing w:after="80" w:before="200"/>
      </w:pPr>
      <w:r>
        <w:rPr>
          <w:rFonts w:ascii="Times New Roman" w:cs="Times New Roman" w:eastAsia="Times New Roman" w:hAnsi="Times New Roman"/>
          <w:b/>
          <w:bCs/>
          <w:color w:val="1F2937"/>
          <w:sz w:val="26"/>
          <w:szCs w:val="26"/>
        </w:rPr>
        <w:t xml:space="preserve">Exercice 3 — Journal de type : la connaissance qui reste (20 min)</w:t>
      </w:r>
    </w:p>
    <w:p>
      <w:pPr>
        <w:spacing w:after="120"/>
      </w:pPr>
      <w:r>
        <w:rPr>
          <w:rFonts w:ascii="Times New Roman" w:cs="Times New Roman" w:eastAsia="Times New Roman" w:hAnsi="Times New Roman"/>
          <w:color w:val="1F2937"/>
          <w:sz w:val="22"/>
          <w:szCs w:val="22"/>
        </w:rPr>
        <w:t xml:space="preserve">Maintenant que tu sais ce que la recherche dit, reprends tes notes de journal des leçons 3 à 11 (les neuf types). Choisis trois observations sur toi-même qui ont émergé grâce à l'ennéagramme et que tu considères toujours valables.</w:t>
      </w:r>
    </w:p>
    <w:p>
      <w:pPr>
        <w:spacing w:after="120"/>
      </w:pPr>
      <w:r>
        <w:rPr>
          <w:rFonts w:ascii="Times New Roman" w:cs="Times New Roman" w:eastAsia="Times New Roman" w:hAnsi="Times New Roman"/>
          <w:color w:val="1F2937"/>
          <w:sz w:val="22"/>
          <w:szCs w:val="22"/>
        </w:rPr>
        <w:t xml:space="preserve">Pour chacune, réponds en trois lignes :</w:t>
      </w:r>
    </w:p>
    <w:p>
      <w:pPr>
        <w:pStyle w:val="ListParagraph"/>
        <w:numPr>
          <w:ilvl w:val="0"/>
          <w:numId w:val="1"/>
        </w:numPr>
        <w:spacing w:after="80"/>
      </w:pPr>
      <w:r>
        <w:rPr>
          <w:rFonts w:ascii="Times New Roman" w:cs="Times New Roman" w:eastAsia="Times New Roman" w:hAnsi="Times New Roman"/>
          <w:color w:val="1F2937"/>
          <w:sz w:val="22"/>
          <w:szCs w:val="22"/>
        </w:rPr>
        <w:t xml:space="preserve">Quelle est l'observation ? (formule-la en comportement ou en ressenti, sans vocabulaire technique)</w:t>
      </w:r>
    </w:p>
    <w:p>
      <w:pPr>
        <w:pStyle w:val="ListParagraph"/>
        <w:numPr>
          <w:ilvl w:val="0"/>
          <w:numId w:val="1"/>
        </w:numPr>
        <w:spacing w:after="80"/>
      </w:pPr>
      <w:r>
        <w:rPr>
          <w:rFonts w:ascii="Times New Roman" w:cs="Times New Roman" w:eastAsia="Times New Roman" w:hAnsi="Times New Roman"/>
          <w:color w:val="1F2937"/>
          <w:sz w:val="22"/>
          <w:szCs w:val="22"/>
        </w:rPr>
        <w:t xml:space="preserve">L'ennéagramme t'a-t-il aidé à la voir, ou tu la connaissais déjà d'une autre façon ?</w:t>
      </w:r>
    </w:p>
    <w:p>
      <w:pPr>
        <w:pStyle w:val="ListParagraph"/>
        <w:numPr>
          <w:ilvl w:val="0"/>
          <w:numId w:val="1"/>
        </w:numPr>
        <w:spacing w:after="80"/>
      </w:pPr>
      <w:r>
        <w:rPr>
          <w:rFonts w:ascii="Times New Roman" w:cs="Times New Roman" w:eastAsia="Times New Roman" w:hAnsi="Times New Roman"/>
          <w:color w:val="1F2937"/>
          <w:sz w:val="22"/>
          <w:szCs w:val="22"/>
        </w:rPr>
        <w:t xml:space="preserve">Cette observation dépend-elle de la validité scientifique du modèle, ou reste-t-elle vraie indépendamment de lui ?</w:t>
      </w:r>
    </w:p>
    <w:p>
      <w:pPr>
        <w:spacing w:after="120"/>
      </w:pPr>
      <w:r>
        <w:rPr>
          <w:rFonts w:ascii="Times New Roman" w:cs="Times New Roman" w:eastAsia="Times New Roman" w:hAnsi="Times New Roman"/>
          <w:color w:val="1F2937"/>
          <w:sz w:val="22"/>
          <w:szCs w:val="22"/>
        </w:rPr>
        <w:t xml:space="preserve">L'objectif : distinguer ce que le modèle t'a permis de voir (valeur d'outil) de ce que le modèle affirme être vrai (validité du modèle). Les deux ne vont pas toujours ensemble.</w:t>
      </w:r>
    </w:p>
    <w:p>
      <w:pPr>
        <w:spacing w:after="160"/>
      </w:pPr>
    </w:p>
    <w:p>
      <w:pPr>
        <w:spacing w:after="100" w:before="320"/>
      </w:pPr>
      <w:r>
        <w:rPr>
          <w:rFonts w:ascii="Times New Roman" w:cs="Times New Roman" w:eastAsia="Times New Roman" w:hAnsi="Times New Roman"/>
          <w:b/>
          <w:bCs/>
          <w:color w:val="1B3A6B"/>
          <w:sz w:val="30"/>
          <w:szCs w:val="30"/>
        </w:rPr>
        <w:t xml:space="preserve">🎯 Challenge — Écrire son bilan épistémique personnel (60 min)</w:t>
      </w:r>
    </w:p>
    <w:p>
      <w:pPr>
        <w:spacing w:after="120"/>
      </w:pPr>
      <w:r>
        <w:rPr>
          <w:rFonts w:ascii="Times New Roman" w:cs="Times New Roman" w:eastAsia="Times New Roman" w:hAnsi="Times New Roman"/>
          <w:color w:val="1F2937"/>
          <w:sz w:val="22"/>
          <w:szCs w:val="22"/>
        </w:rPr>
        <w:t xml:space="preserve">Rédige un texte de 300 à 500 mots structuré en trois parties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 que je retiens comme solide : </w:t>
      </w:r>
      <w:r>
        <w:rPr>
          <w:rFonts w:ascii="Times New Roman" w:cs="Times New Roman" w:eastAsia="Times New Roman" w:hAnsi="Times New Roman"/>
          <w:color w:val="1F2937"/>
          <w:sz w:val="22"/>
          <w:szCs w:val="22"/>
        </w:rPr>
        <w:t xml:space="preserve">les corrélations observées, les outils de lecture qui ont fonctionné pour moi, les exercices de ce parcours qui ont produit des effets durables. Formule-les en observables, sans recourir au vocabulaire du modèle.</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 que je retiens avec prudence : </w:t>
      </w:r>
      <w:r>
        <w:rPr>
          <w:rFonts w:ascii="Times New Roman" w:cs="Times New Roman" w:eastAsia="Times New Roman" w:hAnsi="Times New Roman"/>
          <w:color w:val="1F2937"/>
          <w:sz w:val="22"/>
          <w:szCs w:val="22"/>
        </w:rPr>
        <w:t xml:space="preserve">les affirmations du modèle que j'ai trouvées utiles mais dont je sais maintenant qu'elles ne sont pas empiriquement validées (ailes, flèches, progression par niveaux). Comment les utiliser en les qualifiant correctement ?</w:t>
      </w:r>
    </w:p>
    <w:p>
      <w:pPr>
        <w:pStyle w:val="ListParagraph"/>
        <w:numPr>
          <w:ilvl w:val="0"/>
          <w:numId w:val="1"/>
        </w:numPr>
        <w:spacing w:after="80"/>
      </w:pPr>
      <w:r>
        <w:rPr>
          <w:rFonts w:ascii="Times New Roman" w:cs="Times New Roman" w:eastAsia="Times New Roman" w:hAnsi="Times New Roman"/>
          <w:b/>
          <w:bCs/>
          <w:color w:val="1F2937"/>
          <w:sz w:val="22"/>
          <w:szCs w:val="22"/>
        </w:rPr>
        <w:t xml:space="preserve">Ce que je mets de côté : </w:t>
      </w:r>
      <w:r>
        <w:rPr>
          <w:rFonts w:ascii="Times New Roman" w:cs="Times New Roman" w:eastAsia="Times New Roman" w:hAnsi="Times New Roman"/>
          <w:color w:val="1F2937"/>
          <w:sz w:val="22"/>
          <w:szCs w:val="22"/>
        </w:rPr>
        <w:t xml:space="preserve">les affirmations que tu as rencontrées au fil du parcours et qui ne tiennent pas à l'examen — prévalences par type, neurosciences de l'ennéagramme, prédictions cliniques.</w:t>
      </w:r>
    </w:p>
    <w:p>
      <w:pPr>
        <w:spacing w:after="120"/>
      </w:pPr>
      <w:r>
        <w:rPr>
          <w:rFonts w:ascii="Times New Roman" w:cs="Times New Roman" w:eastAsia="Times New Roman" w:hAnsi="Times New Roman"/>
          <w:color w:val="1F2937"/>
          <w:sz w:val="22"/>
          <w:szCs w:val="22"/>
        </w:rPr>
        <w:t xml:space="preserve">Ce texte n'est pas une dissertation académique. C'est un bilan honnête de ce que ce parcours t'a appris et de ce qu'il ne t'a pas appris. Il servira de base à la leçon 20 — le bilan final du parcours.</w:t>
      </w:r>
    </w:p>
    <w:p>
      <w:pPr>
        <w:spacing w:after="160"/>
      </w:pPr>
    </w:p>
    <w:p>
      <w:pPr>
        <w:spacing w:after="100" w:before="320"/>
      </w:pPr>
      <w:r>
        <w:rPr>
          <w:rFonts w:ascii="Times New Roman" w:cs="Times New Roman" w:eastAsia="Times New Roman" w:hAnsi="Times New Roman"/>
          <w:b/>
          <w:bCs/>
          <w:color w:val="1B3A6B"/>
          <w:sz w:val="30"/>
          <w:szCs w:val="30"/>
        </w:rPr>
        <w:t xml:space="preserve">🌉 Pont pro</w:t>
      </w:r>
    </w:p>
    <w:p>
      <w:pPr>
        <w:spacing w:after="120"/>
      </w:pPr>
      <w:r>
        <w:rPr>
          <w:rFonts w:ascii="Times New Roman" w:cs="Times New Roman" w:eastAsia="Times New Roman" w:hAnsi="Times New Roman"/>
          <w:color w:val="1F2937"/>
          <w:sz w:val="22"/>
          <w:szCs w:val="22"/>
        </w:rPr>
        <w:t xml:space="preserve">En ESSMS, un chef de service peut être sollicité pour introduire l'ennéagramme en équipe ou pour commenter son usage par un professionnel. Ce que cette leçon change à ta posture : tu peux désormais distinguer l'usage de l'ennéagramme comme outil de développement personnel (défendable, non opposable) de son usage comme grille d'évaluation ou de catégorisation (non justifiable, et refusé par la leçon 18 pour des raisons éthiques et pratiques). Un outil non validé ne peut pas fonder une décision concernant une personne accompagnée, ni figurer dans un écrit institutionnel comme argument de qualification.</w:t>
      </w:r>
    </w:p>
    <w:p>
      <w:pPr>
        <w:spacing w:after="160"/>
      </w:pPr>
    </w:p>
    <w:p>
      <w:pPr>
        <w:spacing w:after="100" w:before="320"/>
      </w:pPr>
      <w:r>
        <w:rPr>
          <w:rFonts w:ascii="Times New Roman" w:cs="Times New Roman" w:eastAsia="Times New Roman" w:hAnsi="Times New Roman"/>
          <w:b/>
          <w:bCs/>
          <w:color w:val="1B3A6B"/>
          <w:sz w:val="30"/>
          <w:szCs w:val="30"/>
        </w:rPr>
        <w:t xml:space="preserve">📚 Ressources cliquables pour approfondir ce thème</w:t>
      </w:r>
    </w:p>
    <w:p>
      <w:pPr>
        <w:spacing w:after="120"/>
      </w:pPr>
      <w:r>
        <w:rPr>
          <w:rFonts w:ascii="Times New Roman" w:cs="Times New Roman" w:eastAsia="Times New Roman" w:hAnsi="Times New Roman"/>
          <w:color w:val="1F2937"/>
          <w:sz w:val="22"/>
          <w:szCs w:val="22"/>
        </w:rPr>
        <w:t xml:space="preserve">Note préliminaire : la source indépendante de référence est Hook et al. (2021), publiée dans une revue à comité de lecture. Les autres ressources ci-dessous sont des sources secondaires qui commentent, vulgarisent ou critiquent le modèle — elles n'ont pas le même statut épistémique et sont identifiées comme telles.</w:t>
      </w:r>
    </w:p>
    <w:p>
      <w:pPr>
        <w:pStyle w:val="ListParagraph"/>
        <w:numPr>
          <w:ilvl w:val="0"/>
          <w:numId w:val="1"/>
        </w:numPr>
        <w:spacing w:after="80"/>
      </w:pPr>
      <w:hyperlink w:history="1" r:id="rIdykhc9pwt-bcpd5d-eprsp">
        <w:r>
          <w:rPr>
            <w:rFonts w:ascii="Times New Roman" w:cs="Times New Roman" w:eastAsia="Times New Roman" w:hAnsi="Times New Roman"/>
            <w:color w:val="1155CC"/>
            <w:sz w:val="22"/>
            <w:szCs w:val="22"/>
            <w:u w:val="single"/>
          </w:rPr>
          <w:t xml:space="preserve">Hook et al. (2021) — The Enneagram: A systematic review — Journal of Clinical Psychology (Wiley, accès bloqué anti-robot en consultation automatique, page vérifiée existante)</w:t>
        </w:r>
      </w:hyperlink>
    </w:p>
    <w:p>
      <w:pPr>
        <w:pStyle w:val="ListParagraph"/>
        <w:numPr>
          <w:ilvl w:val="0"/>
          <w:numId w:val="1"/>
        </w:numPr>
        <w:spacing w:after="80"/>
      </w:pPr>
      <w:hyperlink w:history="1" r:id="rId20kfbtq9v5trcsr7pnpjf">
        <w:r>
          <w:rPr>
            <w:rFonts w:ascii="Times New Roman" w:cs="Times New Roman" w:eastAsia="Times New Roman" w:hAnsi="Times New Roman"/>
            <w:color w:val="1155CC"/>
            <w:sz w:val="22"/>
            <w:szCs w:val="22"/>
            <w:u w:val="single"/>
          </w:rPr>
          <w:t xml:space="preserve">9takes — Is the Enneagram Scientifically Valid? (source secondaire, synthèse de Hook et al. 2021, fiabilité et affirmations non étayées)</w:t>
        </w:r>
      </w:hyperlink>
    </w:p>
    <w:p>
      <w:pPr>
        <w:pStyle w:val="ListParagraph"/>
        <w:numPr>
          <w:ilvl w:val="0"/>
          <w:numId w:val="1"/>
        </w:numPr>
        <w:spacing w:after="80"/>
      </w:pPr>
      <w:hyperlink w:history="1" r:id="rIdw0mf86offbjjtqcthels_">
        <w:r>
          <w:rPr>
            <w:rFonts w:ascii="Times New Roman" w:cs="Times New Roman" w:eastAsia="Times New Roman" w:hAnsi="Times New Roman"/>
            <w:color w:val="1155CC"/>
            <w:sz w:val="22"/>
            <w:szCs w:val="22"/>
            <w:u w:val="single"/>
          </w:rPr>
          <w:t xml:space="preserve">Wikipedia — Enneagram of Personality (classification pseudoscience, sondage Delphi 2011, critiques de Carroll)</w:t>
        </w:r>
      </w:hyperlink>
    </w:p>
    <w:p>
      <w:pPr>
        <w:pStyle w:val="ListParagraph"/>
        <w:numPr>
          <w:ilvl w:val="0"/>
          <w:numId w:val="1"/>
        </w:numPr>
        <w:spacing w:after="80"/>
      </w:pPr>
      <w:hyperlink w:history="1" r:id="rIdyavywrodt5n-ir9mctrf6">
        <w:r>
          <w:rPr>
            <w:rFonts w:ascii="Times New Roman" w:cs="Times New Roman" w:eastAsia="Times New Roman" w:hAnsi="Times New Roman"/>
            <w:color w:val="1155CC"/>
            <w:sz w:val="22"/>
            <w:szCs w:val="22"/>
            <w:u w:val="single"/>
          </w:rPr>
          <w:t xml:space="preserve">Scientific Enneagram — Enneagram vs. Myers-Briggs (comparaison instrumentale, limites méthodologiques des 7 études MBTI)</w:t>
        </w:r>
      </w:hyperlink>
    </w:p>
    <w:p>
      <w:pPr>
        <w:pStyle w:val="ListParagraph"/>
        <w:numPr>
          <w:ilvl w:val="0"/>
          <w:numId w:val="1"/>
        </w:numPr>
        <w:spacing w:after="80"/>
      </w:pPr>
      <w:hyperlink w:history="1" r:id="rIdotjss2zfsng0omjgq_cfb">
        <w:r>
          <w:rPr>
            <w:rFonts w:ascii="Times New Roman" w:cs="Times New Roman" w:eastAsia="Times New Roman" w:hAnsi="Times New Roman"/>
            <w:color w:val="1155CC"/>
            <w:sz w:val="22"/>
            <w:szCs w:val="22"/>
            <w:u w:val="single"/>
          </w:rPr>
          <w:t xml:space="preserve">Enneagram Institute — The Traditional Enneagram (origines historiques, fondements philosophiques ; le site ne revendique aucune validation scientifique)</w:t>
        </w:r>
      </w:hyperlink>
    </w:p>
    <w:p>
      <w:pPr>
        <w:pStyle w:val="ListParagraph"/>
        <w:numPr>
          <w:ilvl w:val="0"/>
          <w:numId w:val="1"/>
        </w:numPr>
        <w:spacing w:after="80"/>
      </w:pPr>
      <w:hyperlink w:history="1" r:id="rIdg2fpfqtfngz9hjk4lpuno">
        <w:r>
          <w:rPr>
            <w:rFonts w:ascii="Times New Roman" w:cs="Times New Roman" w:eastAsia="Times New Roman" w:hAnsi="Times New Roman"/>
            <w:color w:val="1155CC"/>
            <w:sz w:val="22"/>
            <w:szCs w:val="22"/>
            <w:u w:val="single"/>
          </w:rPr>
          <w:t xml:space="preserve">Withmaslow — The Validity of the Enneagram Test (synthèse des limites, interdictions d'usage clinique et RH)</w:t>
        </w:r>
      </w:hyperlink>
    </w:p>
    <w:p>
      <w:pPr>
        <w:spacing w:after="160"/>
      </w:pPr>
    </w:p>
    <w:p>
      <w:pPr>
        <w:spacing w:after="100" w:before="32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color w:val="1F2937"/>
          <w:sz w:val="22"/>
          <w:szCs w:val="22"/>
        </w:rPr>
        <w:t xml:space="preserve">Leçon 20 / 20 — BILAN : Synthèse du parcours : l'ennéagramme comme chemin de connaissance de soi, ses apports réels et ses garde-fous. La leçon finale ne sera pas un thème de plus — ce sera une fin. Elle mettra les 19 leçons en relation, signalera ce qui n'a pas pu être traité, et proposera des pistes d'approfondissement autonome.</w:t>
      </w:r>
    </w:p>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jc w:val="center"/>
    </w:pPr>
    <w:rPr>
      <w:rFonts w:ascii="Times New Roman" w:cs="Times New Roman" w:eastAsia="Times New Roman" w:hAnsi="Times New Roman"/>
      <w:b/>
      <w:bCs/>
      <w:color w:val="1B3A6B"/>
      <w:sz w:val="52"/>
      <w:szCs w:val="52"/>
    </w:rPr>
  </w:style>
  <w:style w:type="paragraph" w:styleId="Heading2">
    <w:name w:val="Heading 2"/>
    <w:rPr>
      <w:rFonts w:ascii="Times New Roman" w:cs="Times New Roman" w:eastAsia="Times New Roman" w:hAnsi="Times New Roman"/>
      <w:b/>
      <w:bCs/>
      <w:color w:val="1B3A6B"/>
      <w:sz w:val="30"/>
      <w:szCs w:val="30"/>
    </w:rPr>
  </w:style>
  <w:style w:type="paragraph" w:styleId="Heading3">
    <w:name w:val="Heading 3"/>
    <w:rPr>
      <w:rFonts w:ascii="Times New Roman" w:cs="Times New Roman" w:eastAsia="Times New Roman" w:hAnsi="Times New Roman"/>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khc9pwt-bcpd5d-eprsp" Type="http://schemas.openxmlformats.org/officeDocument/2006/relationships/hyperlink" Target="https://onlinelibrary.wiley.com/doi/10.1002/jclp.23097" TargetMode="External"/><Relationship Id="rId20kfbtq9v5trcsr7pnpjf" Type="http://schemas.openxmlformats.org/officeDocument/2006/relationships/hyperlink" Target="https://9takes.com/enneagram-corner/mental-health/enneagram-science-mental-health" TargetMode="External"/><Relationship Id="rIdw0mf86offbjjtqcthels_" Type="http://schemas.openxmlformats.org/officeDocument/2006/relationships/hyperlink" Target="https://en.wikipedia.org/wiki/Enneagram_of_Personality" TargetMode="External"/><Relationship Id="rIdyavywrodt5n-ir9mctrf6" Type="http://schemas.openxmlformats.org/officeDocument/2006/relationships/hyperlink" Target="https://www.scientificenneagram.com/existing-research/myers-briggs" TargetMode="External"/><Relationship Id="rIdotjss2zfsng0omjgq_cfb" Type="http://schemas.openxmlformats.org/officeDocument/2006/relationships/hyperlink" Target="https://www.enneagraminstitute.com/the-traditional-enneagram" TargetMode="External"/><Relationship Id="rIdg2fpfqtfngz9hjk4lpuno" Type="http://schemas.openxmlformats.org/officeDocument/2006/relationships/hyperlink" Target="https://withmaslow.com/blog/enneagram-test-validity-maslow"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2026-10-07T07:07:14.455Z</dcterms:created>
  <dcterms:modified xsi:type="dcterms:W3CDTF">2026-10-07T07:07:14.458Z</dcterms:modified>
</cp:coreProperties>
</file>

<file path=docProps/custom.xml><?xml version="1.0" encoding="utf-8"?>
<Properties xmlns="http://schemas.openxmlformats.org/officeDocument/2006/custom-properties" xmlns:vt="http://schemas.openxmlformats.org/officeDocument/2006/docPropsVTypes"/>
</file>