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jc w:val="center"/>
      </w:pPr>
      <w:r>
        <w:rPr>
          <w:rFonts w:ascii="Times New Roman" w:cs="Times New Roman" w:eastAsia="Times New Roman" w:hAnsi="Times New Roman"/>
          <w:b/>
          <w:bCs/>
          <w:color w:val="1B3A6B"/>
          <w:sz w:val="52"/>
          <w:szCs w:val="52"/>
        </w:rPr>
        <w:t xml:space="preserve">Leçon Hypnose &amp; auto-hypnose n°17</w:t>
      </w:r>
    </w:p>
    <w:p>
      <w:pPr>
        <w:spacing w:after="40" w:before="60"/>
        <w:jc w:val="center"/>
      </w:pPr>
      <w:r>
        <w:rPr>
          <w:rFonts w:ascii="Times New Roman" w:cs="Times New Roman" w:eastAsia="Times New Roman" w:hAnsi="Times New Roman"/>
          <w:b/>
          <w:bCs/>
          <w:color w:val="1B3A6B"/>
          <w:sz w:val="34"/>
          <w:szCs w:val="34"/>
        </w:rPr>
        <w:t xml:space="preserve">Contre-indications, précautions et publics à risque</w:t>
      </w:r>
    </w:p>
    <w:p>
      <w:pPr>
        <w:spacing w:after="160" w:before="40"/>
        <w:jc w:val="center"/>
      </w:pPr>
      <w:r>
        <w:rPr>
          <w:rFonts w:ascii="Times New Roman" w:cs="Times New Roman" w:eastAsia="Times New Roman" w:hAnsi="Times New Roman"/>
          <w:i/>
          <w:iCs/>
          <w:color w:val="1F2937"/>
          <w:sz w:val="22"/>
          <w:szCs w:val="22"/>
        </w:rPr>
        <w:t xml:space="preserve">6 octobre 2026  ·  Leçon 17 / 20</w:t>
      </w:r>
    </w:p>
    <w:p>
      <w:pPr>
        <w:pStyle w:val="Heading2"/>
        <w:spacing w:after="100" w:before="28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i w:val="false"/>
          <w:iCs w:val="false"/>
          <w:color w:val="1F2937"/>
          <w:sz w:val="22"/>
          <w:szCs w:val="22"/>
        </w:rPr>
        <w:t xml:space="preserve">À l'issue de cette leçon, tu sauras identifier les situations dans lesquelles l'hypnose comporte des risques documentés, distinguer les contre-indications strictes des simples précautions, et adapter ta pratique d'auto-hypnose en conséquence.</w:t>
      </w:r>
    </w:p>
    <w:p>
      <w:pPr>
        <w:spacing w:after="60" w:before="60"/>
      </w:pPr>
      <w:r>
        <w:rPr>
          <w:rFonts w:ascii="Times New Roman" w:cs="Times New Roman" w:eastAsia="Times New Roman" w:hAnsi="Times New Roman"/>
          <w:i w:val="false"/>
          <w:iCs w:val="false"/>
          <w:color w:val="1F2937"/>
          <w:sz w:val="22"/>
          <w:szCs w:val="22"/>
        </w:rPr>
        <w:t xml:space="preserve">Lien avec la leçon 16 : après avoir exploré pourquoi l'hypnose peut ne pas fonctionner chez certaines personnes, nous abordons maintenant une question complémentaire — pour qui peut-elle comporter des risques ? Ces deux leçons forment un diptyque : l'une porte sur l'efficacité, l'autre sur la sécurité.</w:t>
      </w:r>
    </w:p>
    <w:p>
      <w:pPr>
        <w:pStyle w:val="Heading2"/>
        <w:spacing w:after="100" w:before="280"/>
      </w:pPr>
      <w:r>
        <w:rPr>
          <w:rFonts w:ascii="Times New Roman" w:cs="Times New Roman" w:eastAsia="Times New Roman" w:hAnsi="Times New Roman"/>
          <w:b/>
          <w:bCs/>
          <w:color w:val="1B3A6B"/>
          <w:sz w:val="30"/>
          <w:szCs w:val="30"/>
        </w:rPr>
        <w:t xml:space="preserve">⚠️ Cadre &amp;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B3A6B" w:sz="6"/>
              <w:left w:val="single" w:color="1B3A6B" w:sz="6"/>
              <w:bottom w:val="single" w:color="1B3A6B" w:sz="6"/>
              <w:right w:val="single" w:color="1B3A6B" w:sz="6"/>
            </w:tcBorders>
            <w:shd w:fill="F3F4F6" w:val="clear"/>
          </w:tcPr>
          <w:p>
            <w:pPr>
              <w:spacing w:after="60" w:before="80"/>
            </w:pPr>
            <w:r>
              <w:rPr>
                <w:rFonts w:ascii="Times New Roman" w:cs="Times New Roman" w:eastAsia="Times New Roman" w:hAnsi="Times New Roman"/>
                <w:b/>
                <w:bCs/>
                <w:color w:val="1B3A6B"/>
                <w:sz w:val="22"/>
                <w:szCs w:val="22"/>
              </w:rPr>
              <w:t xml:space="preserve">⚠️ Rappel du cadre</w:t>
            </w:r>
          </w:p>
          <w:p>
            <w:pPr>
              <w:spacing w:after="40" w:before="40"/>
            </w:pPr>
            <w:r>
              <w:rPr>
                <w:rFonts w:ascii="Times New Roman" w:cs="Times New Roman" w:eastAsia="Times New Roman" w:hAnsi="Times New Roman"/>
                <w:color w:val="1F2937"/>
                <w:sz w:val="22"/>
                <w:szCs w:val="22"/>
              </w:rPr>
              <w:t xml:space="preserve">Ce cours concerne exclusivement l'auto-hypnose pour le développement personnel : détente, gestion du stress, concentration. Il ne constitue ni un soin, ni une formation à l'hypnothérapie sur autrui.</w:t>
            </w:r>
          </w:p>
          <w:p>
            <w:pPr>
              <w:spacing w:after="40" w:before="40"/>
            </w:pPr>
            <w:r>
              <w:rPr>
                <w:rFonts w:ascii="Times New Roman" w:cs="Times New Roman" w:eastAsia="Times New Roman" w:hAnsi="Times New Roman"/>
                <w:color w:val="1F2937"/>
                <w:sz w:val="22"/>
                <w:szCs w:val="22"/>
              </w:rPr>
              <w:t xml:space="preserve"/>
            </w:r>
          </w:p>
          <w:p>
            <w:pPr>
              <w:spacing w:after="40" w:before="40"/>
            </w:pPr>
            <w:r>
              <w:rPr>
                <w:rFonts w:ascii="Times New Roman" w:cs="Times New Roman" w:eastAsia="Times New Roman" w:hAnsi="Times New Roman"/>
                <w:color w:val="1F2937"/>
                <w:sz w:val="22"/>
                <w:szCs w:val="22"/>
              </w:rPr>
              <w:t xml:space="preserve">Si tu présentes ou as présenté des épisodes psychotiques, des troubles dissociatifs diagnostiqués, de l'épilepsie, ou si tu traverses une période de grande fragilité psychologique, consulte un professionnel de santé avant de pratiquer l'auto-hypnose.</w:t>
            </w:r>
          </w:p>
        </w:tc>
      </w:tr>
    </w:tbl>
    <w:p>
      <w:pPr>
        <w:spacing w:after="0" w:before="80"/>
      </w:pPr>
    </w:p>
    <w:p>
      <w:pPr>
        <w:pStyle w:val="Heading2"/>
        <w:spacing w:after="100" w:before="280"/>
      </w:pPr>
      <w:r>
        <w:rPr>
          <w:rFonts w:ascii="Times New Roman" w:cs="Times New Roman" w:eastAsia="Times New Roman" w:hAnsi="Times New Roman"/>
          <w:b/>
          <w:bCs/>
          <w:color w:val="1B3A6B"/>
          <w:sz w:val="30"/>
          <w:szCs w:val="30"/>
        </w:rPr>
        <w:t xml:space="preserve">🔬 Théorie (20 %) — Sécurité de l'hypnose : ce que la recherche établit</w:t>
      </w:r>
    </w:p>
    <w:p>
      <w:pPr>
        <w:pStyle w:val="Heading3"/>
        <w:spacing w:after="80" w:before="180"/>
      </w:pPr>
      <w:r>
        <w:rPr>
          <w:rFonts w:ascii="Times New Roman" w:cs="Times New Roman" w:eastAsia="Times New Roman" w:hAnsi="Times New Roman"/>
          <w:b/>
          <w:bCs/>
          <w:color w:val="1F2937"/>
          <w:sz w:val="26"/>
          <w:szCs w:val="26"/>
        </w:rPr>
        <w:t xml:space="preserve">1. La sécurité générale : données chiffrées</w:t>
      </w:r>
    </w:p>
    <w:p>
      <w:pPr>
        <w:spacing w:after="60" w:before="60"/>
      </w:pPr>
      <w:r>
        <w:rPr>
          <w:rFonts w:ascii="Times New Roman" w:cs="Times New Roman" w:eastAsia="Times New Roman" w:hAnsi="Times New Roman"/>
          <w:i w:val="false"/>
          <w:iCs w:val="false"/>
          <w:color w:val="1F2937"/>
          <w:sz w:val="22"/>
          <w:szCs w:val="22"/>
        </w:rPr>
        <w:t xml:space="preserve">La méta-analyse de Rosendahl, Alldredge &amp; Haddenhorst (2023), qui synthétise 49 méta-analyses portant sur 261 études primaires, rapporte un taux d'événements indésirables de 0,47 % sur 429 participants issus des essais cliniques analysés, aucun de ces événements n'étant qualifié de grave. Une crise de panique et quelques cas de vertiges légers figurent parmi les effets signalés. Les auteurs soulignent cependant que les données de sécurité sont absentes dans plus de la moitié des revues incluses — une lacune méthodologique qui invite à la prudence dans l'interprétation de ce chiffre rassurant : on ne peut conclure à l'absence de risque là où le risque n'a tout simplement pas été mesuré.</w:t>
      </w:r>
    </w:p>
    <w:p>
      <w:pPr>
        <w:spacing w:after="60" w:before="60"/>
      </w:pPr>
      <w:r>
        <w:rPr>
          <w:rFonts w:ascii="Times New Roman" w:cs="Times New Roman" w:eastAsia="Times New Roman" w:hAnsi="Times New Roman"/>
          <w:i w:val="false"/>
          <w:iCs w:val="false"/>
          <w:color w:val="1F2937"/>
          <w:sz w:val="22"/>
          <w:szCs w:val="22"/>
        </w:rPr>
        <w:t xml:space="preserve">Ce constat de bonne sécurité générale s'entend pour des contextes d'hypnothérapie encadrés par des praticiens formés, avec des critères d'exclusion appliqués. Il ne préjuge pas des situations dans lesquelles l'hypnose est pratiquée hors cadre clinique ou sur des personnes présentant des facteurs de vulnérabilité.</w:t>
      </w:r>
    </w:p>
    <w:p>
      <w:pPr>
        <w:pStyle w:val="Heading3"/>
        <w:spacing w:after="80" w:before="180"/>
      </w:pPr>
      <w:r>
        <w:rPr>
          <w:rFonts w:ascii="Times New Roman" w:cs="Times New Roman" w:eastAsia="Times New Roman" w:hAnsi="Times New Roman"/>
          <w:b/>
          <w:bCs/>
          <w:color w:val="1F2937"/>
          <w:sz w:val="26"/>
          <w:szCs w:val="26"/>
        </w:rPr>
        <w:t xml:space="preserve">2. Les contre-indications établies de l'hypnothérapie</w:t>
      </w:r>
    </w:p>
    <w:p>
      <w:pPr>
        <w:spacing w:after="60" w:before="60"/>
      </w:pPr>
      <w:r>
        <w:rPr>
          <w:rFonts w:ascii="Times New Roman" w:cs="Times New Roman" w:eastAsia="Times New Roman" w:hAnsi="Times New Roman"/>
          <w:i w:val="false"/>
          <w:iCs w:val="false"/>
          <w:color w:val="1F2937"/>
          <w:sz w:val="22"/>
          <w:szCs w:val="22"/>
        </w:rPr>
        <w:t xml:space="preserve">La littérature clinique distingue deux niveaux :</w:t>
      </w:r>
    </w:p>
    <w:p>
      <w:pPr>
        <w:pStyle w:val="ListParagraph"/>
        <w:numPr>
          <w:ilvl w:val="0"/>
          <w:numId w:val="1"/>
        </w:numPr>
        <w:spacing w:after="40" w:before="40"/>
        <w:ind w:left="576" w:hanging="288"/>
      </w:pPr>
      <w:r>
        <w:rPr>
          <w:rFonts w:ascii="Times New Roman" w:cs="Times New Roman" w:eastAsia="Times New Roman" w:hAnsi="Times New Roman"/>
          <w:b/>
          <w:bCs/>
          <w:color w:val="1F2937"/>
          <w:sz w:val="22"/>
          <w:szCs w:val="22"/>
        </w:rPr>
        <w:t xml:space="preserve">Contre-indications strictes (hypnothérapie déconseillée) :</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Troubles psychotiques actifs : schizophrénie avec idées délirantes, bouffées délirantes, paranoïa. L'induction hypnotique risque d'exacerber les distorsions perceptives et d'aggraver l'état délirant. La pratique relève, dans ce cas, d'une expertise psychiatrique très spécialisée.</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Personnalités borderline en état de crise aiguë : la fragilité de la régulation émotionnelle et la perméabilité aux suggestions peuvent rendre les techniques d'induction déstabilisantes.</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Troubles de la personnalité sévères en phase aiguë.</w:t>
      </w:r>
    </w:p>
    <w:p>
      <w:pPr>
        <w:spacing w:after="0" w:before="60"/>
      </w:pPr>
    </w:p>
    <w:p>
      <w:pPr>
        <w:pStyle w:val="ListParagraph"/>
        <w:numPr>
          <w:ilvl w:val="0"/>
          <w:numId w:val="1"/>
        </w:numPr>
        <w:spacing w:after="40" w:before="40"/>
        <w:ind w:left="576" w:hanging="288"/>
      </w:pPr>
      <w:r>
        <w:rPr>
          <w:rFonts w:ascii="Times New Roman" w:cs="Times New Roman" w:eastAsia="Times New Roman" w:hAnsi="Times New Roman"/>
          <w:b/>
          <w:bCs/>
          <w:color w:val="1F2937"/>
          <w:sz w:val="22"/>
          <w:szCs w:val="22"/>
        </w:rPr>
        <w:t xml:space="preserve">Précautions importantes (à prendre en compte, pas une interdiction absolue) :</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Troubles dissociatifs : le paradoxe est documenté. Peter (2024) souligne que les personnes présentant une forte dissociativité tendent à être plus hypnotisables — elles sont aussi souvent plus vulnérables et fréquemment traumatisées. Sous hypnose, le risque de basculement dans un état identitaire alternatif ou de résurgence de mémoires traumatiques est réel. L'hypnose peut être utilisée dans ce contexte, mais uniquement dans un cadre thérapeutique spécialisé.</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PTSD (état de stress post-traumatique) : risque de retraumatisation lors de l'induction ou d'exercices faisant appel à l'imagerie. L'hypnose est parfois utilisée en traitement du PTSD, mais sa mise en œuvre exige une formation spécifique en psychotraumatologie.</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Épilepsie : des rapports cliniques font état de déclenchement de crises après des séances d'hypnose profonde ou de relaxation prolongée, bien que les preuves restent limitées et les mécanismes mal compris.</w:t>
      </w:r>
    </w:p>
    <w:p>
      <w:pPr>
        <w:pStyle w:val="ListParagraph"/>
        <w:numPr>
          <w:ilvl w:val="1"/>
          <w:numId w:val="1"/>
        </w:numPr>
        <w:spacing w:after="40" w:before="40"/>
        <w:ind w:left="1008" w:hanging="288"/>
      </w:pPr>
      <w:r>
        <w:rPr>
          <w:rFonts w:ascii="Times New Roman" w:cs="Times New Roman" w:eastAsia="Times New Roman" w:hAnsi="Times New Roman"/>
          <w:b w:val="false"/>
          <w:bCs w:val="false"/>
          <w:color w:val="1F2937"/>
          <w:sz w:val="22"/>
          <w:szCs w:val="22"/>
        </w:rPr>
        <w:t xml:space="preserve">Dépression sévère : en phase aiguë, certains exercices d'imagerie peuvent amplifier la rumination ou la tristesse.</w:t>
      </w:r>
    </w:p>
    <w:p>
      <w:pPr>
        <w:pStyle w:val="Heading3"/>
        <w:spacing w:after="80" w:before="180"/>
      </w:pPr>
      <w:r>
        <w:rPr>
          <w:rFonts w:ascii="Times New Roman" w:cs="Times New Roman" w:eastAsia="Times New Roman" w:hAnsi="Times New Roman"/>
          <w:b/>
          <w:bCs/>
          <w:color w:val="1F2937"/>
          <w:sz w:val="26"/>
          <w:szCs w:val="26"/>
        </w:rPr>
        <w:t xml:space="preserve">3. Le cas particulier des faux souvenirs</w:t>
      </w:r>
    </w:p>
    <w:p>
      <w:pPr>
        <w:spacing w:after="60" w:before="60"/>
      </w:pPr>
      <w:r>
        <w:rPr>
          <w:rFonts w:ascii="Times New Roman" w:cs="Times New Roman" w:eastAsia="Times New Roman" w:hAnsi="Times New Roman"/>
          <w:i w:val="false"/>
          <w:iCs w:val="false"/>
          <w:color w:val="1F2937"/>
          <w:sz w:val="22"/>
          <w:szCs w:val="22"/>
        </w:rPr>
        <w:t xml:space="preserve">C'est l'un des risques les mieux documentés de l'hypnose — et l'un des plus instructifs pour l'auto-pratique. L'état hypnotique augmente la suggestibilité et peut faciliter la construction de pseudo-mémoires, c'est-à-dire de souvenirs subjectivement convaincants qui ne correspondent pas à des événements réels.</w:t>
      </w:r>
    </w:p>
    <w:p>
      <w:pPr>
        <w:spacing w:after="60" w:before="60"/>
      </w:pPr>
      <w:r>
        <w:rPr>
          <w:rFonts w:ascii="Times New Roman" w:cs="Times New Roman" w:eastAsia="Times New Roman" w:hAnsi="Times New Roman"/>
          <w:i w:val="false"/>
          <w:iCs w:val="false"/>
          <w:color w:val="1F2937"/>
          <w:sz w:val="22"/>
          <w:szCs w:val="22"/>
        </w:rPr>
        <w:t xml:space="preserve">Peter (2024) retrace la crise des années 1990 : des thérapeutes pratiquant la récupération de souvenirs sous hypnose ont « découvert » des abus sexuels dans l'enfance de leurs patients — des allégations qui ont causé des souffrances profondes à des familles et ont conduit à des procédures judiciaires. La communauté scientifique, notamment autour des travaux d'Elizabeth Loftus sur la malléabilité de la mémoire, a établi que la suggestibilité hypnotique peut créer des souvenirs convaincants sans fondement réel.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B3A6B" w:sz="6"/>
              <w:left w:val="single" w:color="1B3A6B" w:sz="6"/>
              <w:bottom w:val="single" w:color="1B3A6B" w:sz="6"/>
              <w:right w:val="single" w:color="1B3A6B" w:sz="6"/>
            </w:tcBorders>
            <w:shd w:fill="EEF2F7" w:val="clear"/>
          </w:tcPr>
          <w:p>
            <w:pPr>
              <w:spacing w:after="60" w:before="80"/>
            </w:pPr>
            <w:r>
              <w:rPr>
                <w:rFonts w:ascii="Times New Roman" w:cs="Times New Roman" w:eastAsia="Times New Roman" w:hAnsi="Times New Roman"/>
                <w:b/>
                <w:bCs/>
                <w:color w:val="1B3A6B"/>
                <w:sz w:val="22"/>
                <w:szCs w:val="22"/>
              </w:rPr>
              <w:t xml:space="preserve">📌 À retenir</w:t>
            </w:r>
          </w:p>
          <w:p>
            <w:pPr>
              <w:spacing w:after="40" w:before="40"/>
            </w:pPr>
            <w:r>
              <w:rPr>
                <w:rFonts w:ascii="Times New Roman" w:cs="Times New Roman" w:eastAsia="Times New Roman" w:hAnsi="Times New Roman"/>
                <w:color w:val="1F2937"/>
                <w:sz w:val="22"/>
                <w:szCs w:val="22"/>
              </w:rPr>
              <w:t xml:space="preserve">Règle d'or pour l'auto-hypnose : n'utilise jamais l'auto-hypnose pour tenter de « retrouver » des souvenirs ou de « creuser » dans ton passé. C'est une porte vers les faux souvenirs et vers une détresse inutile. L'auto-hypnose sert à aller de l'avant, pas à fouiller.</w:t>
            </w:r>
          </w:p>
        </w:tc>
      </w:tr>
    </w:tbl>
    <w:p>
      <w:pPr>
        <w:spacing w:after="0" w:before="80"/>
      </w:pPr>
    </w:p>
    <w:p>
      <w:pPr>
        <w:pStyle w:val="Heading3"/>
        <w:spacing w:after="80" w:before="180"/>
      </w:pPr>
      <w:r>
        <w:rPr>
          <w:rFonts w:ascii="Times New Roman" w:cs="Times New Roman" w:eastAsia="Times New Roman" w:hAnsi="Times New Roman"/>
          <w:b/>
          <w:bCs/>
          <w:color w:val="1F2937"/>
          <w:sz w:val="26"/>
          <w:szCs w:val="26"/>
        </w:rPr>
        <w:t xml:space="preserve">4. Les effets indésirables documentés et leur fréquence</w:t>
      </w:r>
    </w:p>
    <w:p>
      <w:pPr>
        <w:spacing w:after="60" w:before="60"/>
      </w:pPr>
      <w:r>
        <w:rPr>
          <w:rFonts w:ascii="Times New Roman" w:cs="Times New Roman" w:eastAsia="Times New Roman" w:hAnsi="Times New Roman"/>
          <w:i w:val="false"/>
          <w:iCs w:val="false"/>
          <w:color w:val="1F2937"/>
          <w:sz w:val="22"/>
          <w:szCs w:val="22"/>
        </w:rPr>
        <w:t xml:space="preserve">Quand ils surviennent, les effets indésirables de l'hypnose sont généralement bénins et transitoires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Céphalées légères (le plus fréquemment cité)</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Vertiges ou sensation de légèreté prolongée</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Somnolence résiduelle après la séance</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Anxiété légère ou sentiment de malaise pendant ou après l'induction</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Résurgence d'une mémoire émotionnelle — souvenir chargé qui remonte spontanément</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Rare : crise de panique (1 cas sur 429 participants dans Rosendahl et al., 2023)</w:t>
      </w:r>
    </w:p>
    <w:p>
      <w:pPr>
        <w:spacing w:after="0" w:before="80"/>
      </w:pPr>
    </w:p>
    <w:p>
      <w:pPr>
        <w:pStyle w:val="Heading3"/>
        <w:spacing w:after="80" w:before="180"/>
      </w:pPr>
      <w:r>
        <w:rPr>
          <w:rFonts w:ascii="Times New Roman" w:cs="Times New Roman" w:eastAsia="Times New Roman" w:hAnsi="Times New Roman"/>
          <w:b/>
          <w:bCs/>
          <w:color w:val="1F2937"/>
          <w:sz w:val="26"/>
          <w:szCs w:val="26"/>
        </w:rPr>
        <w:t xml:space="preserve">5. Auto-hypnose vs hypnothérapie : des niveaux de risque différents</w:t>
      </w:r>
    </w:p>
    <w:p>
      <w:pPr>
        <w:spacing w:after="60" w:before="60"/>
      </w:pPr>
      <w:r>
        <w:rPr>
          <w:rFonts w:ascii="Times New Roman" w:cs="Times New Roman" w:eastAsia="Times New Roman" w:hAnsi="Times New Roman"/>
          <w:i w:val="false"/>
          <w:iCs w:val="false"/>
          <w:color w:val="1F2937"/>
          <w:sz w:val="22"/>
          <w:szCs w:val="22"/>
        </w:rPr>
        <w:t xml:space="preserve">Les contre-indications décrites ci-dessus s'appliquent principalement à l'hypnothérapie conduite par un praticien. Pour l'auto-hypnose de développement personnel, le profil de risque est globalement plus favorable, pour plusieurs raisons : tu conserves le contrôle de l'induction et de la sortie, tu peux t'arrêter à tout moment, et les techniques utilisées sont moins susceptibles de provoquer des phénomènes dissociatifs profonds.</w:t>
      </w:r>
    </w:p>
    <w:p>
      <w:pPr>
        <w:spacing w:after="60" w:before="60"/>
      </w:pPr>
      <w:r>
        <w:rPr>
          <w:rFonts w:ascii="Times New Roman" w:cs="Times New Roman" w:eastAsia="Times New Roman" w:hAnsi="Times New Roman"/>
          <w:i w:val="false"/>
          <w:iCs w:val="false"/>
          <w:color w:val="1F2937"/>
          <w:sz w:val="22"/>
          <w:szCs w:val="22"/>
        </w:rPr>
        <w:t xml:space="preserve">Cela ne signifie pas qu'il n'y a aucune précaution à prendre. Les précautions pratiques universelles s'appliquent dans tous les cas.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B3A6B" w:sz="6"/>
              <w:left w:val="single" w:color="1B3A6B" w:sz="6"/>
              <w:bottom w:val="single" w:color="1B3A6B" w:sz="6"/>
              <w:right w:val="single" w:color="1B3A6B" w:sz="6"/>
            </w:tcBorders>
            <w:shd w:fill="F3F4F6" w:val="clear"/>
          </w:tcPr>
          <w:p>
            <w:pPr>
              <w:spacing w:after="60" w:before="80"/>
            </w:pPr>
            <w:r>
              <w:rPr>
                <w:rFonts w:ascii="Times New Roman" w:cs="Times New Roman" w:eastAsia="Times New Roman" w:hAnsi="Times New Roman"/>
                <w:b/>
                <w:bCs/>
                <w:color w:val="1B3A6B"/>
                <w:sz w:val="22"/>
                <w:szCs w:val="22"/>
              </w:rPr>
              <w:t xml:space="preserve">🛡️ Précautions pratiques universelles pour l'auto-hypnose</w:t>
            </w:r>
          </w:p>
          <w:p>
            <w:pPr>
              <w:spacing w:after="40" w:before="40"/>
            </w:pPr>
            <w:r>
              <w:rPr>
                <w:rFonts w:ascii="Times New Roman" w:cs="Times New Roman" w:eastAsia="Times New Roman" w:hAnsi="Times New Roman"/>
                <w:color w:val="1F2937"/>
                <w:sz w:val="22"/>
                <w:szCs w:val="22"/>
              </w:rPr>
              <w:t xml:space="preserve">• Ne pratique jamais l'auto-hypnose en conduisant, en manœuvrant des machines, ou dans toute situation où tu dois rester alerte.</w:t>
            </w:r>
          </w:p>
          <w:p>
            <w:pPr>
              <w:spacing w:after="40" w:before="40"/>
            </w:pPr>
            <w:r>
              <w:rPr>
                <w:rFonts w:ascii="Times New Roman" w:cs="Times New Roman" w:eastAsia="Times New Roman" w:hAnsi="Times New Roman"/>
                <w:color w:val="1F2937"/>
                <w:sz w:val="22"/>
                <w:szCs w:val="22"/>
              </w:rPr>
              <w:t xml:space="preserve">• Si une séance déclenche une anxiété forte, une tristesse intense ou une sensation de déréalisation qui ne se dissipe pas : arrête, utilise le protocole de sortie (voir exercice 3), et note l'expérience dans ton journal.</w:t>
            </w:r>
          </w:p>
          <w:p>
            <w:pPr>
              <w:spacing w:after="40" w:before="40"/>
            </w:pPr>
            <w:r>
              <w:rPr>
                <w:rFonts w:ascii="Times New Roman" w:cs="Times New Roman" w:eastAsia="Times New Roman" w:hAnsi="Times New Roman"/>
                <w:color w:val="1F2937"/>
                <w:sz w:val="22"/>
                <w:szCs w:val="22"/>
              </w:rPr>
              <w:t xml:space="preserve">• Si ces réactions se répètent, consulte un professionnel de santé avant de poursuivre.</w:t>
            </w:r>
          </w:p>
          <w:p>
            <w:pPr>
              <w:spacing w:after="40" w:before="40"/>
            </w:pPr>
            <w:r>
              <w:rPr>
                <w:rFonts w:ascii="Times New Roman" w:cs="Times New Roman" w:eastAsia="Times New Roman" w:hAnsi="Times New Roman"/>
                <w:color w:val="1F2937"/>
                <w:sz w:val="22"/>
                <w:szCs w:val="22"/>
              </w:rPr>
              <w:t xml:space="preserve">• La durée recommandée pour débuter : 10-15 minutes maximum. Augmente progressivement.</w:t>
            </w:r>
          </w:p>
        </w:tc>
      </w:tr>
    </w:tbl>
    <w:p>
      <w:pPr>
        <w:spacing w:after="0" w:before="80"/>
      </w:pPr>
    </w:p>
    <w:p>
      <w:pPr>
        <w:pStyle w:val="Heading2"/>
        <w:spacing w:after="100" w:before="280"/>
      </w:pPr>
      <w:r>
        <w:rPr>
          <w:rFonts w:ascii="Times New Roman" w:cs="Times New Roman" w:eastAsia="Times New Roman" w:hAnsi="Times New Roman"/>
          <w:b/>
          <w:bCs/>
          <w:color w:val="1B3A6B"/>
          <w:sz w:val="30"/>
          <w:szCs w:val="30"/>
        </w:rPr>
        <w:t xml:space="preserve">🛠️ Pratique (80 %) — Trois exercices</w:t>
      </w:r>
    </w:p>
    <w:p>
      <w:pPr>
        <w:pStyle w:val="Heading3"/>
        <w:spacing w:after="80" w:before="180"/>
      </w:pPr>
      <w:r>
        <w:rPr>
          <w:rFonts w:ascii="Times New Roman" w:cs="Times New Roman" w:eastAsia="Times New Roman" w:hAnsi="Times New Roman"/>
          <w:b/>
          <w:bCs/>
          <w:color w:val="1F2937"/>
          <w:sz w:val="26"/>
          <w:szCs w:val="26"/>
        </w:rPr>
        <w:t xml:space="preserve">Exercice 1 — Audit personnel de mes facteurs de risque (30 minutes)</w:t>
      </w:r>
    </w:p>
    <w:p>
      <w:pPr>
        <w:spacing w:after="60" w:before="60"/>
      </w:pPr>
      <w:r>
        <w:rPr>
          <w:rFonts w:ascii="Times New Roman" w:cs="Times New Roman" w:eastAsia="Times New Roman" w:hAnsi="Times New Roman"/>
          <w:i w:val="false"/>
          <w:iCs w:val="false"/>
          <w:color w:val="1F2937"/>
          <w:sz w:val="22"/>
          <w:szCs w:val="22"/>
        </w:rPr>
        <w:t xml:space="preserve">Avant de poursuivre la pratique, prends le temps de dresser ton profil de risque personnel. Cet audit n'est pas un outil diagnostique — c'est un espace de réflexion honnête pour adapter ta pratique.</w:t>
      </w:r>
    </w:p>
    <w:p>
      <w:pPr>
        <w:spacing w:after="60" w:before="60"/>
      </w:pPr>
      <w:r>
        <w:rPr>
          <w:rFonts w:ascii="Times New Roman" w:cs="Times New Roman" w:eastAsia="Times New Roman" w:hAnsi="Times New Roman"/>
          <w:i/>
          <w:iCs/>
          <w:color w:val="1F2937"/>
          <w:sz w:val="22"/>
          <w:szCs w:val="22"/>
        </w:rPr>
        <w:t xml:space="preserve">Matériel : ton journal de pratique, un crayon.</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Étape 1 — Réponds honnêtement à ces questions (pas de scoring, juste une réflexion)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Est-ce que j'ai déjà vécu des épisodes de dépersonnalisation ou de déréalisation (sentiment de ne pas être dans mon corps, que le monde est irréel)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Est-ce que je présente des antécédents de troubles anxieux sévères, de phobies intenses ou de crises de panique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Est-ce que j'ai traversé un trauma non résolu sur lequel je n'ai pas travaillé avec un professionnel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Est-ce que certaines des séances précédentes ont déclenché chez moi des sensations désagréables que je n'ai pas pu identifier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Est-ce que j'ai une fragilité particulière en ce moment (surmenage, deuil, conflit majeur, grande incertitude) ?</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Étape 2 — Sur la base de tes réponses, détermine ton niveau de précaution pour les prochaines semaines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2"/>
                <w:szCs w:val="22"/>
              </w:rPr>
              <w:t xml:space="preserve">Profil</w:t>
            </w:r>
          </w:p>
        </w:tc>
        <w:tc>
          <w:tcPr>
            <w:shd w:fill="1B3A6B" w:val="clear"/>
          </w:tcPr>
          <w:p>
            <w:r>
              <w:rPr>
                <w:rFonts w:ascii="Times New Roman" w:cs="Times New Roman" w:eastAsia="Times New Roman" w:hAnsi="Times New Roman"/>
                <w:b/>
                <w:bCs/>
                <w:color w:val="FFFFFF"/>
                <w:sz w:val="22"/>
                <w:szCs w:val="22"/>
              </w:rPr>
              <w:t xml:space="preserve">Caractéristiques</w:t>
            </w:r>
          </w:p>
        </w:tc>
        <w:tc>
          <w:tcPr>
            <w:shd w:fill="1B3A6B" w:val="clear"/>
          </w:tcPr>
          <w:p>
            <w:r>
              <w:rPr>
                <w:rFonts w:ascii="Times New Roman" w:cs="Times New Roman" w:eastAsia="Times New Roman" w:hAnsi="Times New Roman"/>
                <w:b/>
                <w:bCs/>
                <w:color w:val="FFFFFF"/>
                <w:sz w:val="22"/>
                <w:szCs w:val="22"/>
              </w:rPr>
              <w:t xml:space="preserve">Adaptation recommandée</w:t>
            </w:r>
          </w:p>
        </w:tc>
      </w:tr>
      <w:tr>
        <w:tc>
          <w:tcPr>
            <w:shd w:fill="FFFFFF" w:val="clear"/>
          </w:tcPr>
          <w:p>
            <w:r>
              <w:rPr>
                <w:rFonts w:ascii="Times New Roman" w:cs="Times New Roman" w:eastAsia="Times New Roman" w:hAnsi="Times New Roman"/>
                <w:color w:val="1F2937"/>
                <w:sz w:val="22"/>
                <w:szCs w:val="22"/>
              </w:rPr>
              <w:t xml:space="preserve">🟢 Standard</w:t>
            </w:r>
          </w:p>
        </w:tc>
        <w:tc>
          <w:tcPr>
            <w:shd w:fill="FFFFFF" w:val="clear"/>
          </w:tcPr>
          <w:p>
            <w:r>
              <w:rPr>
                <w:rFonts w:ascii="Times New Roman" w:cs="Times New Roman" w:eastAsia="Times New Roman" w:hAnsi="Times New Roman"/>
                <w:color w:val="1F2937"/>
                <w:sz w:val="22"/>
                <w:szCs w:val="22"/>
              </w:rPr>
              <w:t xml:space="preserve">Aucun des facteurs ci-dessus</w:t>
            </w:r>
          </w:p>
        </w:tc>
        <w:tc>
          <w:tcPr>
            <w:shd w:fill="FFFFFF" w:val="clear"/>
          </w:tcPr>
          <w:p>
            <w:r>
              <w:rPr>
                <w:rFonts w:ascii="Times New Roman" w:cs="Times New Roman" w:eastAsia="Times New Roman" w:hAnsi="Times New Roman"/>
                <w:color w:val="1F2937"/>
                <w:sz w:val="22"/>
                <w:szCs w:val="22"/>
              </w:rPr>
              <w:t xml:space="preserve">Pratique normale, toutes techniques</w:t>
            </w:r>
          </w:p>
        </w:tc>
      </w:tr>
      <w:tr>
        <w:tc>
          <w:tcPr>
            <w:shd w:fill="EEF2F7" w:val="clear"/>
          </w:tcPr>
          <w:p>
            <w:r>
              <w:rPr>
                <w:rFonts w:ascii="Times New Roman" w:cs="Times New Roman" w:eastAsia="Times New Roman" w:hAnsi="Times New Roman"/>
                <w:color w:val="1F2937"/>
                <w:sz w:val="22"/>
                <w:szCs w:val="22"/>
              </w:rPr>
              <w:t xml:space="preserve">🟡 Précaution légère</w:t>
            </w:r>
          </w:p>
        </w:tc>
        <w:tc>
          <w:tcPr>
            <w:shd w:fill="EEF2F7" w:val="clear"/>
          </w:tcPr>
          <w:p>
            <w:r>
              <w:rPr>
                <w:rFonts w:ascii="Times New Roman" w:cs="Times New Roman" w:eastAsia="Times New Roman" w:hAnsi="Times New Roman"/>
                <w:color w:val="1F2937"/>
                <w:sz w:val="22"/>
                <w:szCs w:val="22"/>
              </w:rPr>
              <w:t xml:space="preserve">1-2 facteurs, bien gérés</w:t>
            </w:r>
          </w:p>
        </w:tc>
        <w:tc>
          <w:tcPr>
            <w:shd w:fill="EEF2F7" w:val="clear"/>
          </w:tcPr>
          <w:p>
            <w:r>
              <w:rPr>
                <w:rFonts w:ascii="Times New Roman" w:cs="Times New Roman" w:eastAsia="Times New Roman" w:hAnsi="Times New Roman"/>
                <w:color w:val="1F2937"/>
                <w:sz w:val="22"/>
                <w:szCs w:val="22"/>
              </w:rPr>
              <w:t xml:space="preserve">Éviter imagerie de régression, garder séances courtes (10 min), check-in systématique</w:t>
            </w:r>
          </w:p>
        </w:tc>
      </w:tr>
      <w:tr>
        <w:tc>
          <w:tcPr>
            <w:shd w:fill="FFFFFF" w:val="clear"/>
          </w:tcPr>
          <w:p>
            <w:r>
              <w:rPr>
                <w:rFonts w:ascii="Times New Roman" w:cs="Times New Roman" w:eastAsia="Times New Roman" w:hAnsi="Times New Roman"/>
                <w:color w:val="1F2937"/>
                <w:sz w:val="22"/>
                <w:szCs w:val="22"/>
              </w:rPr>
              <w:t xml:space="preserve">🔴 Supervision recommandée</w:t>
            </w:r>
          </w:p>
        </w:tc>
        <w:tc>
          <w:tcPr>
            <w:shd w:fill="FFFFFF" w:val="clear"/>
          </w:tcPr>
          <w:p>
            <w:r>
              <w:rPr>
                <w:rFonts w:ascii="Times New Roman" w:cs="Times New Roman" w:eastAsia="Times New Roman" w:hAnsi="Times New Roman"/>
                <w:color w:val="1F2937"/>
                <w:sz w:val="22"/>
                <w:szCs w:val="22"/>
              </w:rPr>
              <w:t xml:space="preserve">3+ facteurs ou grande fragilité actuelle</w:t>
            </w:r>
          </w:p>
        </w:tc>
        <w:tc>
          <w:tcPr>
            <w:shd w:fill="FFFFFF" w:val="clear"/>
          </w:tcPr>
          <w:p>
            <w:r>
              <w:rPr>
                <w:rFonts w:ascii="Times New Roman" w:cs="Times New Roman" w:eastAsia="Times New Roman" w:hAnsi="Times New Roman"/>
                <w:color w:val="1F2937"/>
                <w:sz w:val="22"/>
                <w:szCs w:val="22"/>
              </w:rPr>
              <w:t xml:space="preserve">Consulter un professionnel avant de reprendre</w:t>
            </w:r>
          </w:p>
        </w:tc>
      </w:tr>
    </w:tbl>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Étape 3 — Note dans ton journal : ton profil actuel, les adaptations choisies, et une date de réévaluation (dans 1 mois).</w:t>
      </w:r>
    </w:p>
    <w:p>
      <w:pPr>
        <w:pStyle w:val="Heading3"/>
        <w:spacing w:after="80" w:before="180"/>
      </w:pPr>
      <w:r>
        <w:rPr>
          <w:rFonts w:ascii="Times New Roman" w:cs="Times New Roman" w:eastAsia="Times New Roman" w:hAnsi="Times New Roman"/>
          <w:b/>
          <w:bCs/>
          <w:color w:val="1F2937"/>
          <w:sz w:val="26"/>
          <w:szCs w:val="26"/>
        </w:rPr>
        <w:t xml:space="preserve">Exercice 2 — Protocole de check-in pré-séance (10 minutes)</w:t>
      </w:r>
    </w:p>
    <w:p>
      <w:pPr>
        <w:spacing w:after="60" w:before="60"/>
      </w:pPr>
      <w:r>
        <w:rPr>
          <w:rFonts w:ascii="Times New Roman" w:cs="Times New Roman" w:eastAsia="Times New Roman" w:hAnsi="Times New Roman"/>
          <w:i w:val="false"/>
          <w:iCs w:val="false"/>
          <w:color w:val="1F2937"/>
          <w:sz w:val="22"/>
          <w:szCs w:val="22"/>
        </w:rPr>
        <w:t xml:space="preserve">Avant chaque séance d'auto-hypnose, ce check-in rapide te permet d'évaluer si la pratique est adaptée ce jour-là et d'ajuster ton intention en conséquence. Il s'agit d'une routine de sécurité, pas d'un rituel complexe.</w:t>
      </w:r>
    </w:p>
    <w:p>
      <w:pPr>
        <w:spacing w:after="60" w:before="60"/>
      </w:pPr>
      <w:r>
        <w:rPr>
          <w:rFonts w:ascii="Times New Roman" w:cs="Times New Roman" w:eastAsia="Times New Roman" w:hAnsi="Times New Roman"/>
          <w:i/>
          <w:iCs/>
          <w:color w:val="1F2937"/>
          <w:sz w:val="22"/>
          <w:szCs w:val="22"/>
        </w:rPr>
        <w:t xml:space="preserve">Durée : 5-10 minutes. À pratiquer avant toute induction.</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Les 4 questions du check-in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Comment est mon état émotionnel en ce moment ? (sur une échelle de 0 = calme / 10 = agité ou perturbé)</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Est-ce que je ressens une tension particulière, un souvenir douloureux présent à l'esprit, une préoccupation intense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Comment est mon niveau d'énergie physique ? (fatigue extrême, maux de tête, inconfort physique)</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Quelle est mon intention pour cette séance ? Est-elle adaptée à mon état du moment ?</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Lecture de la réponse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Score 0-3 : conditions favorables. Proceed normalement.</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Score 4-6 : proceed avec précaution. Réduis la profondeur de l'induction, travaille sur des objectifs simples (relaxation, respiration). Évite les exercices d'imagerie ou de régression.</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Score 7+ : reporte la séance ou remplace-la par une simple respiration consciente (5 minutes). Prends note de ton état dans le journal.</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Note dans ton journal les résultats du check-in pendant deux semaines consécutives. Observe si certains jours, certaines heures ou certains états émotionnels correspondent systématiquement à des séances moins satisfaisantes ou à des effets indésirables.</w:t>
      </w:r>
    </w:p>
    <w:p>
      <w:pPr>
        <w:pStyle w:val="Heading3"/>
        <w:spacing w:after="80" w:before="180"/>
      </w:pPr>
      <w:r>
        <w:rPr>
          <w:rFonts w:ascii="Times New Roman" w:cs="Times New Roman" w:eastAsia="Times New Roman" w:hAnsi="Times New Roman"/>
          <w:b/>
          <w:bCs/>
          <w:color w:val="1F2937"/>
          <w:sz w:val="26"/>
          <w:szCs w:val="26"/>
        </w:rPr>
        <w:t xml:space="preserve">Exercice 3 — Apprendre et mémoriser le protocole de sortie d'urgence</w:t>
      </w:r>
    </w:p>
    <w:p>
      <w:pPr>
        <w:spacing w:after="60" w:before="60"/>
      </w:pPr>
      <w:r>
        <w:rPr>
          <w:rFonts w:ascii="Times New Roman" w:cs="Times New Roman" w:eastAsia="Times New Roman" w:hAnsi="Times New Roman"/>
          <w:i w:val="false"/>
          <w:iCs w:val="false"/>
          <w:color w:val="1F2937"/>
          <w:sz w:val="22"/>
          <w:szCs w:val="22"/>
        </w:rPr>
        <w:t xml:space="preserve">Ce protocole est ton « filet de sécurité ». Il te permet de sortir rapidement et efficacement de la transe si tu ressens un inconfort, une anxiété soudaine, une désorientation ou la résurgence d'une mémoire perturbante. Il doit être mémorisé avant chaque séance — pas consulté pendant.</w:t>
      </w:r>
    </w:p>
    <w:p>
      <w:pPr>
        <w:spacing w:after="60" w:before="60"/>
      </w:pPr>
      <w:r>
        <w:rPr>
          <w:rFonts w:ascii="Times New Roman" w:cs="Times New Roman" w:eastAsia="Times New Roman" w:hAnsi="Times New Roman"/>
          <w:i/>
          <w:iCs/>
          <w:color w:val="1F2937"/>
          <w:sz w:val="22"/>
          <w:szCs w:val="22"/>
        </w:rPr>
        <w:t xml:space="preserve">Temps d'apprentissage : 10 minutes. À répéter jusqu'à ce que les étapes soient automatiques.</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Le protocole STOP-ANCRE-REVIENS (5 étapes) :</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B3A6B" w:sz="6"/>
              <w:left w:val="single" w:color="1B3A6B" w:sz="6"/>
              <w:bottom w:val="single" w:color="1B3A6B" w:sz="6"/>
              <w:right w:val="single" w:color="1B3A6B" w:sz="6"/>
            </w:tcBorders>
            <w:shd w:fill="F3F4F6" w:val="clear"/>
          </w:tcPr>
          <w:p>
            <w:pPr>
              <w:spacing w:after="60" w:before="80"/>
            </w:pPr>
            <w:r>
              <w:rPr>
                <w:rFonts w:ascii="Times New Roman" w:cs="Times New Roman" w:eastAsia="Times New Roman" w:hAnsi="Times New Roman"/>
                <w:b/>
                <w:bCs/>
                <w:color w:val="1B3A6B"/>
                <w:sz w:val="22"/>
                <w:szCs w:val="22"/>
              </w:rPr>
              <w:t xml:space="preserve">📋 Protocole STOP-ANCRE-REVIENS</w:t>
            </w:r>
          </w:p>
          <w:p>
            <w:pPr>
              <w:spacing w:after="40" w:before="40"/>
            </w:pPr>
            <w:r>
              <w:rPr>
                <w:rFonts w:ascii="Times New Roman" w:cs="Times New Roman" w:eastAsia="Times New Roman" w:hAnsi="Times New Roman"/>
                <w:color w:val="1F2937"/>
                <w:sz w:val="22"/>
                <w:szCs w:val="22"/>
              </w:rPr>
              <w:t xml:space="preserve">ÉTAPE 1 — STOP (5 secondes)</w:t>
            </w:r>
          </w:p>
          <w:p>
            <w:pPr>
              <w:spacing w:after="40" w:before="40"/>
            </w:pPr>
            <w:r>
              <w:rPr>
                <w:rFonts w:ascii="Times New Roman" w:cs="Times New Roman" w:eastAsia="Times New Roman" w:hAnsi="Times New Roman"/>
                <w:color w:val="1F2937"/>
                <w:sz w:val="22"/>
                <w:szCs w:val="22"/>
              </w:rPr>
              <w:t xml:space="preserve">Dis intérieurement (ou à voix haute si besoin) : « Je peux sortir à tout moment. Je suis en sécurité. »</w:t>
            </w:r>
          </w:p>
          <w:p>
            <w:pPr>
              <w:spacing w:after="40" w:before="40"/>
            </w:pPr>
            <w:r>
              <w:rPr>
                <w:rFonts w:ascii="Times New Roman" w:cs="Times New Roman" w:eastAsia="Times New Roman" w:hAnsi="Times New Roman"/>
                <w:color w:val="1F2937"/>
                <w:sz w:val="22"/>
                <w:szCs w:val="22"/>
              </w:rPr>
              <w:t xml:space="preserve"/>
            </w:r>
          </w:p>
          <w:p>
            <w:pPr>
              <w:spacing w:after="40" w:before="40"/>
            </w:pPr>
            <w:r>
              <w:rPr>
                <w:rFonts w:ascii="Times New Roman" w:cs="Times New Roman" w:eastAsia="Times New Roman" w:hAnsi="Times New Roman"/>
                <w:color w:val="1F2937"/>
                <w:sz w:val="22"/>
                <w:szCs w:val="22"/>
              </w:rPr>
              <w:t xml:space="preserve">ÉTAPE 2 — RESPIRE (3 respirations profondes)</w:t>
            </w:r>
          </w:p>
          <w:p>
            <w:pPr>
              <w:spacing w:after="40" w:before="40"/>
            </w:pPr>
            <w:r>
              <w:rPr>
                <w:rFonts w:ascii="Times New Roman" w:cs="Times New Roman" w:eastAsia="Times New Roman" w:hAnsi="Times New Roman"/>
                <w:color w:val="1F2937"/>
                <w:sz w:val="22"/>
                <w:szCs w:val="22"/>
              </w:rPr>
              <w:t xml:space="preserve">Inspire lentement par le nez (4 temps), expire par la bouche (6 temps). Trois cycles complets.</w:t>
            </w:r>
          </w:p>
          <w:p>
            <w:pPr>
              <w:spacing w:after="40" w:before="40"/>
            </w:pPr>
            <w:r>
              <w:rPr>
                <w:rFonts w:ascii="Times New Roman" w:cs="Times New Roman" w:eastAsia="Times New Roman" w:hAnsi="Times New Roman"/>
                <w:color w:val="1F2937"/>
                <w:sz w:val="22"/>
                <w:szCs w:val="22"/>
              </w:rPr>
              <w:t xml:space="preserve"/>
            </w:r>
          </w:p>
          <w:p>
            <w:pPr>
              <w:spacing w:after="40" w:before="40"/>
            </w:pPr>
            <w:r>
              <w:rPr>
                <w:rFonts w:ascii="Times New Roman" w:cs="Times New Roman" w:eastAsia="Times New Roman" w:hAnsi="Times New Roman"/>
                <w:color w:val="1F2937"/>
                <w:sz w:val="22"/>
                <w:szCs w:val="22"/>
              </w:rPr>
              <w:t xml:space="preserve">ÉTAPE 3 — ANCRE (10 secondes)</w:t>
            </w:r>
          </w:p>
          <w:p>
            <w:pPr>
              <w:spacing w:after="40" w:before="40"/>
            </w:pPr>
            <w:r>
              <w:rPr>
                <w:rFonts w:ascii="Times New Roman" w:cs="Times New Roman" w:eastAsia="Times New Roman" w:hAnsi="Times New Roman"/>
                <w:color w:val="1F2937"/>
                <w:sz w:val="22"/>
                <w:szCs w:val="22"/>
              </w:rPr>
              <w:t xml:space="preserve">Appuie les deux pieds bien à plat sur le sol. Sens le contact. Serre les mains, relâche. Répète 3 fois.</w:t>
            </w:r>
          </w:p>
          <w:p>
            <w:pPr>
              <w:spacing w:after="40" w:before="40"/>
            </w:pPr>
            <w:r>
              <w:rPr>
                <w:rFonts w:ascii="Times New Roman" w:cs="Times New Roman" w:eastAsia="Times New Roman" w:hAnsi="Times New Roman"/>
                <w:color w:val="1F2937"/>
                <w:sz w:val="22"/>
                <w:szCs w:val="22"/>
              </w:rPr>
              <w:t xml:space="preserve"/>
            </w:r>
          </w:p>
          <w:p>
            <w:pPr>
              <w:spacing w:after="40" w:before="40"/>
            </w:pPr>
            <w:r>
              <w:rPr>
                <w:rFonts w:ascii="Times New Roman" w:cs="Times New Roman" w:eastAsia="Times New Roman" w:hAnsi="Times New Roman"/>
                <w:color w:val="1F2937"/>
                <w:sz w:val="22"/>
                <w:szCs w:val="22"/>
              </w:rPr>
              <w:t xml:space="preserve">ÉTAPE 4 — COMPTE À REBOURS (10 secondes)</w:t>
            </w:r>
          </w:p>
          <w:p>
            <w:pPr>
              <w:spacing w:after="40" w:before="40"/>
            </w:pPr>
            <w:r>
              <w:rPr>
                <w:rFonts w:ascii="Times New Roman" w:cs="Times New Roman" w:eastAsia="Times New Roman" w:hAnsi="Times New Roman"/>
                <w:color w:val="1F2937"/>
                <w:sz w:val="22"/>
                <w:szCs w:val="22"/>
              </w:rPr>
              <w:t xml:space="preserve">Compte à voix haute de 5 à 1, lentement : « 5... 4... 3... 2... 1... Je suis ici, maintenant. »</w:t>
            </w:r>
          </w:p>
          <w:p>
            <w:pPr>
              <w:spacing w:after="40" w:before="40"/>
            </w:pPr>
            <w:r>
              <w:rPr>
                <w:rFonts w:ascii="Times New Roman" w:cs="Times New Roman" w:eastAsia="Times New Roman" w:hAnsi="Times New Roman"/>
                <w:color w:val="1F2937"/>
                <w:sz w:val="22"/>
                <w:szCs w:val="22"/>
              </w:rPr>
              <w:t xml:space="preserve"/>
            </w:r>
          </w:p>
          <w:p>
            <w:pPr>
              <w:spacing w:after="40" w:before="40"/>
            </w:pPr>
            <w:r>
              <w:rPr>
                <w:rFonts w:ascii="Times New Roman" w:cs="Times New Roman" w:eastAsia="Times New Roman" w:hAnsi="Times New Roman"/>
                <w:color w:val="1F2937"/>
                <w:sz w:val="22"/>
                <w:szCs w:val="22"/>
              </w:rPr>
              <w:t xml:space="preserve">ÉTAPE 5 — ANCRAGE SENSORIEL (30 secondes)</w:t>
            </w:r>
          </w:p>
          <w:p>
            <w:pPr>
              <w:spacing w:after="40" w:before="40"/>
            </w:pPr>
            <w:r>
              <w:rPr>
                <w:rFonts w:ascii="Times New Roman" w:cs="Times New Roman" w:eastAsia="Times New Roman" w:hAnsi="Times New Roman"/>
                <w:color w:val="1F2937"/>
                <w:sz w:val="22"/>
                <w:szCs w:val="22"/>
              </w:rPr>
              <w:t xml:space="preserve">Nomme mentalement 3 choses que tu vois, 2 choses que tu entends, 1 chose que tu sens dans ton corps. Cette technique d'ancrage sensoriel est couramment utilisée dans les protocoles de régulation émotionnelle.</w:t>
            </w:r>
          </w:p>
        </w:tc>
      </w:tr>
    </w:tbl>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Pratique : répète les 5 étapes à l'état ordinaire de conscience, sans induction préalable, jusqu'à pouvoir les exécuter les yeux fermés sans te référer à tes notes. Objectif : 3 répétitions mémorisées aujourd'hui.</w:t>
      </w:r>
    </w:p>
    <w:p>
      <w:pPr>
        <w:spacing w:after="60" w:before="60"/>
      </w:pPr>
      <w:r>
        <w:rPr>
          <w:rFonts w:ascii="Times New Roman" w:cs="Times New Roman" w:eastAsia="Times New Roman" w:hAnsi="Times New Roman"/>
          <w:i w:val="false"/>
          <w:iCs w:val="false"/>
          <w:color w:val="1F2937"/>
          <w:sz w:val="22"/>
          <w:szCs w:val="22"/>
        </w:rPr>
        <w:t xml:space="preserve">Note dans ton journal : la date d'apprentissage, et si tu as eu besoin d'utiliser ce protocole lors d'une séance ultérieure et comment il a fonctionné.</w:t>
      </w:r>
    </w:p>
    <w:p>
      <w:pPr>
        <w:pStyle w:val="Heading2"/>
        <w:spacing w:after="100" w:before="280"/>
      </w:pPr>
      <w:r>
        <w:rPr>
          <w:rFonts w:ascii="Times New Roman" w:cs="Times New Roman" w:eastAsia="Times New Roman" w:hAnsi="Times New Roman"/>
          <w:b/>
          <w:bCs/>
          <w:color w:val="1B3A6B"/>
          <w:sz w:val="30"/>
          <w:szCs w:val="30"/>
        </w:rPr>
        <w:t xml:space="preserve">🎯 Challenge — Décision de pratique en contexte difficile</w:t>
      </w:r>
    </w:p>
    <w:p>
      <w:pPr>
        <w:spacing w:after="60" w:before="60"/>
      </w:pPr>
      <w:r>
        <w:rPr>
          <w:rFonts w:ascii="Times New Roman" w:cs="Times New Roman" w:eastAsia="Times New Roman" w:hAnsi="Times New Roman"/>
          <w:i w:val="false"/>
          <w:iCs w:val="false"/>
          <w:color w:val="1F2937"/>
          <w:sz w:val="22"/>
          <w:szCs w:val="22"/>
        </w:rPr>
        <w:t xml:space="preserve">Scénario : tu es en soirée, après une journée chargée. Une conversation difficile ce matin a réactivé un souvenir douloureux (conflit familial, non résolu). Tu ressens une tension thoracique et une légère irritabilité. Tu avais prévu une séance d'auto-hypnose ce soir pour préparer une présentation de demain.</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Questions à traiter dans ton journal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Que donne ton check-in pré-séance ? Quel score ? Quelle lecture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Dois-tu pratiquer l'auto-hypnose ce soir ? Si oui, avec quelles adaptations ? Si non, quelle alternative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Si tu décides de pratiquer : quelle intention choisirais-tu pour la séance (relaxation simple ? préparation à la présentation ?) et pourquoi l'une plutôt que l'autre ?</w:t>
      </w:r>
    </w:p>
    <w:p>
      <w:pPr>
        <w:pStyle w:val="ListParagraph"/>
        <w:numPr>
          <w:ilvl w:val="0"/>
          <w:numId w:val="1"/>
        </w:numPr>
        <w:spacing w:after="40" w:before="40"/>
        <w:ind w:left="576" w:hanging="288"/>
      </w:pPr>
      <w:r>
        <w:rPr>
          <w:rFonts w:ascii="Times New Roman" w:cs="Times New Roman" w:eastAsia="Times New Roman" w:hAnsi="Times New Roman"/>
          <w:b w:val="false"/>
          <w:bCs w:val="false"/>
          <w:color w:val="1F2937"/>
          <w:sz w:val="22"/>
          <w:szCs w:val="22"/>
        </w:rPr>
        <w:t xml:space="preserve">Quel risque principal veux-tu éviter dans ce contexte ? Comment le protocole de sortie d'urgence peut-il te rassurer ?</w:t>
      </w:r>
    </w:p>
    <w:p>
      <w:pPr>
        <w:spacing w:after="0" w:before="60"/>
      </w:pPr>
    </w:p>
    <w:p>
      <w:pPr>
        <w:spacing w:after="60" w:before="60"/>
      </w:pPr>
      <w:r>
        <w:rPr>
          <w:rFonts w:ascii="Times New Roman" w:cs="Times New Roman" w:eastAsia="Times New Roman" w:hAnsi="Times New Roman"/>
          <w:i w:val="false"/>
          <w:iCs w:val="false"/>
          <w:color w:val="1F2937"/>
          <w:sz w:val="22"/>
          <w:szCs w:val="22"/>
        </w:rPr>
        <w:t xml:space="preserve">Corrigé indicatif : Le check-in probable donne un score de 5-7 (tension émotionnelle présente, souvenir activé). La lecture recommande la précaution. La recommandation est de ne PAS travailler sur la préparation de la présentation ce soir — l'état émotionnel risquerait d'associer l'objectif à la tension ressentie plutôt qu'à la confiance. Une séance courte (10 min) de relaxation simple est préférable, si le check-in final ne dépasse pas 6. Sinon : 5 minutes de respiration abdominale sans induction, et reporter la préparation de la présentation au matin. Le protocole de sortie d'urgence est mémorisé, ce qui libère l'attention pour se concentrer sur la séance plutôt que sur la peur de « ne pas pouvoir sortir ».</w:t>
      </w:r>
    </w:p>
    <w:p>
      <w:pPr>
        <w:pStyle w:val="Heading2"/>
        <w:spacing w:after="100" w:before="280"/>
      </w:pPr>
      <w:r>
        <w:rPr>
          <w:rFonts w:ascii="Times New Roman" w:cs="Times New Roman" w:eastAsia="Times New Roman" w:hAnsi="Times New Roman"/>
          <w:b/>
          <w:bCs/>
          <w:color w:val="1B3A6B"/>
          <w:sz w:val="30"/>
          <w:szCs w:val="30"/>
        </w:rPr>
        <w:t xml:space="preserve">🌉 Pont pro (court)</w:t>
      </w:r>
    </w:p>
    <w:p>
      <w:pPr>
        <w:spacing w:after="60" w:before="60"/>
      </w:pPr>
      <w:r>
        <w:rPr>
          <w:rFonts w:ascii="Times New Roman" w:cs="Times New Roman" w:eastAsia="Times New Roman" w:hAnsi="Times New Roman"/>
          <w:i w:val="false"/>
          <w:iCs w:val="false"/>
          <w:color w:val="1F2937"/>
          <w:sz w:val="22"/>
          <w:szCs w:val="22"/>
        </w:rPr>
        <w:t xml:space="preserve">En ESSMS, tu peux être amené à répondre à des équipes ou à des familles qui s'interrogent sur l'hypnose ou proposent d'y recourir pour des personnes accompagnées. La connaissance de ces contre-indications te permet de formuler une réponse éclairée : rappeler que les personnes accompagnées présentant des troubles psychiatriques (psychose, dissociation) appartiennent aux populations pour lesquelles les précautions sont les plus strictes, et que toute démarche en ce sens exige une qualification spécifique et un cadre clinique. L'auto-hypnose que tu développes dans ce parcours est une pratique personnelle ; elle ne se transfère pas à des personnes tierces sans formation qualifiante.</w:t>
      </w:r>
    </w:p>
    <w:p>
      <w:pPr>
        <w:pStyle w:val="Heading2"/>
        <w:spacing w:after="100" w:before="280"/>
      </w:pPr>
      <w:r>
        <w:rPr>
          <w:rFonts w:ascii="Times New Roman" w:cs="Times New Roman" w:eastAsia="Times New Roman" w:hAnsi="Times New Roman"/>
          <w:b/>
          <w:bCs/>
          <w:color w:val="1B3A6B"/>
          <w:sz w:val="30"/>
          <w:szCs w:val="30"/>
        </w:rPr>
        <w:t xml:space="preserve">📚 Ressources</w:t>
      </w:r>
    </w:p>
    <w:p>
      <w:pPr>
        <w:spacing w:after="60" w:before="60"/>
      </w:pPr>
      <w:r>
        <w:rPr>
          <w:rFonts w:ascii="Times New Roman" w:cs="Times New Roman" w:eastAsia="Times New Roman" w:hAnsi="Times New Roman"/>
          <w:i w:val="false"/>
          <w:iCs w:val="false"/>
          <w:color w:val="1F2937"/>
          <w:sz w:val="22"/>
          <w:szCs w:val="22"/>
        </w:rPr>
        <w:t xml:space="preserve">Sources mobilisées pour cette leçon (toutes vérifiées pendant cette exécution) :</w:t>
      </w:r>
    </w:p>
    <w:p>
      <w:pPr>
        <w:spacing w:after="0" w:before="40"/>
      </w:pPr>
    </w:p>
    <w:p>
      <w:pPr>
        <w:spacing w:after="20" w:before="60"/>
      </w:pPr>
      <w:r>
        <w:rPr>
          <w:rFonts w:ascii="Times New Roman" w:cs="Times New Roman" w:eastAsia="Times New Roman" w:hAnsi="Times New Roman"/>
          <w:color w:val="1F2937"/>
          <w:sz w:val="22"/>
          <w:szCs w:val="22"/>
        </w:rPr>
        <w:t xml:space="preserve">1. Peter B. (2024) — Hypnosis in psychotherapy, psychosomatics and medicine. A brief overview. Frontiers in psychology, vol. 15 (DOI : 10.3389/fpsyg.2024.1377900) [PMC11040694 — page récupérée, 149 345 caractères]</w:t>
      </w:r>
    </w:p>
    <w:p>
      <w:pPr>
        <w:spacing w:after="60" w:before="20"/>
        <w:ind w:left="576"/>
      </w:pPr>
      <w:hyperlink w:history="1" r:id="rId-dvrsswqp0puyvxhqfxch">
        <w:r>
          <w:rPr>
            <w:rFonts w:ascii="Times New Roman" w:cs="Times New Roman" w:eastAsia="Times New Roman" w:hAnsi="Times New Roman"/>
            <w:color w:val="1155CC"/>
            <w:sz w:val="22"/>
            <w:szCs w:val="22"/>
            <w:u w:val="single"/>
          </w:rPr>
          <w:t xml:space="preserve">https://pmc.ncbi.nlm.nih.gov/articles/PMC11040694/</w:t>
        </w:r>
      </w:hyperlink>
    </w:p>
    <w:p>
      <w:pPr>
        <w:spacing w:after="20" w:before="60"/>
      </w:pPr>
      <w:r>
        <w:rPr>
          <w:rFonts w:ascii="Times New Roman" w:cs="Times New Roman" w:eastAsia="Times New Roman" w:hAnsi="Times New Roman"/>
          <w:color w:val="1F2937"/>
          <w:sz w:val="22"/>
          <w:szCs w:val="22"/>
        </w:rPr>
        <w:t xml:space="preserve">2. Rosendahl J, Alldredge CT, Haddenhorst A. (2023) — Meta-analytic evidence on the efficacy of hypnosis for mental and somatic health issues: a 20-year perspective. Frontiers in psychology, vol. 14 (DOI : 10.3389/fpsyg.2023.1330238) [PMC10807512 — page récupérée, 97 211 caractères]</w:t>
      </w:r>
    </w:p>
    <w:p>
      <w:pPr>
        <w:spacing w:after="60" w:before="20"/>
        <w:ind w:left="576"/>
      </w:pPr>
      <w:hyperlink w:history="1" r:id="rId2ltx0ttiigftdg67utbyt">
        <w:r>
          <w:rPr>
            <w:rFonts w:ascii="Times New Roman" w:cs="Times New Roman" w:eastAsia="Times New Roman" w:hAnsi="Times New Roman"/>
            <w:color w:val="1155CC"/>
            <w:sz w:val="22"/>
            <w:szCs w:val="22"/>
            <w:u w:val="single"/>
          </w:rPr>
          <w:t xml:space="preserve">https://pmc.ncbi.nlm.nih.gov/articles/PMC10807512/</w:t>
        </w:r>
      </w:hyperlink>
    </w:p>
    <w:p>
      <w:pPr>
        <w:spacing w:after="20" w:before="60"/>
      </w:pPr>
      <w:r>
        <w:rPr>
          <w:rFonts w:ascii="Times New Roman" w:cs="Times New Roman" w:eastAsia="Times New Roman" w:hAnsi="Times New Roman"/>
          <w:color w:val="1F2937"/>
          <w:sz w:val="22"/>
          <w:szCs w:val="22"/>
        </w:rPr>
        <w:t xml:space="preserve">3. Leo DG, Keller SS, Proietti R. (2024) — Close your eyes and relax: the role of hypnosis in reducing anxiety, and its implications for the prevention of cardiovascular diseases. Frontiers in psychology (DOI : 10.3389/fpsyg.2024.1411835) [PMC11258040 — notice confirmée via Europe PMC, page PMC bloquée par reCAPTCHA]</w:t>
      </w:r>
    </w:p>
    <w:p>
      <w:pPr>
        <w:spacing w:after="60" w:before="20"/>
        <w:ind w:left="576"/>
      </w:pPr>
      <w:hyperlink w:history="1" r:id="rIdhvcps0cmabb39dvpy5zee">
        <w:r>
          <w:rPr>
            <w:rFonts w:ascii="Times New Roman" w:cs="Times New Roman" w:eastAsia="Times New Roman" w:hAnsi="Times New Roman"/>
            <w:color w:val="1155CC"/>
            <w:sz w:val="22"/>
            <w:szCs w:val="22"/>
            <w:u w:val="single"/>
          </w:rPr>
          <w:t xml:space="preserve">https://pmc.ncbi.nlm.nih.gov/articles/PMC11258040/</w:t>
        </w:r>
      </w:hyperlink>
    </w:p>
    <w:p>
      <w:pPr>
        <w:spacing w:after="20" w:before="60"/>
      </w:pPr>
      <w:r>
        <w:rPr>
          <w:rFonts w:ascii="Times New Roman" w:cs="Times New Roman" w:eastAsia="Times New Roman" w:hAnsi="Times New Roman"/>
          <w:color w:val="1F2937"/>
          <w:sz w:val="22"/>
          <w:szCs w:val="22"/>
        </w:rPr>
        <w:t xml:space="preserve">4. Vickers A, Zollman C. (1999) — ABC of complementary medicine. Hypnosis and relaxation therapies. BMJ (Clinical research ed.), 319(7221) :1346–1349 (DOI : 10.1136/bmj.319.7221.1346) [PMC1117083 — notice confirmée via Europe PMC, page PMC bloquée par reCAPTCHA]</w:t>
      </w:r>
    </w:p>
    <w:p>
      <w:pPr>
        <w:spacing w:after="60" w:before="20"/>
        <w:ind w:left="576"/>
      </w:pPr>
      <w:hyperlink w:history="1" r:id="rIdbd2o3ar4cwrtu0qo7gwnx">
        <w:r>
          <w:rPr>
            <w:rFonts w:ascii="Times New Roman" w:cs="Times New Roman" w:eastAsia="Times New Roman" w:hAnsi="Times New Roman"/>
            <w:color w:val="1155CC"/>
            <w:sz w:val="22"/>
            <w:szCs w:val="22"/>
            <w:u w:val="single"/>
          </w:rPr>
          <w:t xml:space="preserve">https://pmc.ncbi.nlm.nih.gov/articles/PMC1117083/</w:t>
        </w:r>
      </w:hyperlink>
    </w:p>
    <w:p>
      <w:pPr>
        <w:spacing w:after="20" w:before="60"/>
      </w:pPr>
      <w:r>
        <w:rPr>
          <w:rFonts w:ascii="Times New Roman" w:cs="Times New Roman" w:eastAsia="Times New Roman" w:hAnsi="Times New Roman"/>
          <w:color w:val="1F2937"/>
          <w:sz w:val="22"/>
          <w:szCs w:val="22"/>
        </w:rPr>
        <w:t xml:space="preserve">5. INSERM (2015) — Comment évaluer l'efficacité de l'hypnose ? Article de synthèse sur l'évaluation conduite sous la direction de Bruno Falissard [page récupérée, 3 746 caractères]</w:t>
      </w:r>
    </w:p>
    <w:p>
      <w:pPr>
        <w:spacing w:after="60" w:before="20"/>
        <w:ind w:left="576"/>
      </w:pPr>
      <w:hyperlink w:history="1" r:id="rIdkat7gy7dmo6bshschlxby">
        <w:r>
          <w:rPr>
            <w:rFonts w:ascii="Times New Roman" w:cs="Times New Roman" w:eastAsia="Times New Roman" w:hAnsi="Times New Roman"/>
            <w:color w:val="1155CC"/>
            <w:sz w:val="22"/>
            <w:szCs w:val="22"/>
            <w:u w:val="single"/>
          </w:rPr>
          <w:t xml:space="preserve">https://www.inserm.fr/actualite/comment-evaluer-efficacite-hypnose/</w:t>
        </w:r>
      </w:hyperlink>
    </w:p>
    <w:p>
      <w:pPr>
        <w:pStyle w:val="Heading2"/>
        <w:spacing w:after="10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i w:val="false"/>
          <w:iCs w:val="false"/>
          <w:color w:val="1F2937"/>
          <w:sz w:val="22"/>
          <w:szCs w:val="22"/>
        </w:rPr>
        <w:t xml:space="preserve">Leçon 18 : Ce que les neurosciences établissent — et ce qu'elles n'établissent pas. Après avoir cerné les risques, nous examinerons les bases cérébrales de l'état hypnotique : qu'est-ce que l'imagerie cérébrale montre réellement ? Quelles affirmations sur le cerveau et l'hypnose sont fondées, lesquelles sont spéculatives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vrsswqp0puyvxhqfxch" Type="http://schemas.openxmlformats.org/officeDocument/2006/relationships/hyperlink" Target="https://pmc.ncbi.nlm.nih.gov/articles/PMC11040694/" TargetMode="External"/><Relationship Id="rId2ltx0ttiigftdg67utbyt" Type="http://schemas.openxmlformats.org/officeDocument/2006/relationships/hyperlink" Target="https://pmc.ncbi.nlm.nih.gov/articles/PMC10807512/" TargetMode="External"/><Relationship Id="rIdhvcps0cmabb39dvpy5zee" Type="http://schemas.openxmlformats.org/officeDocument/2006/relationships/hyperlink" Target="https://pmc.ncbi.nlm.nih.gov/articles/PMC11258040/" TargetMode="External"/><Relationship Id="rIdbd2o3ar4cwrtu0qo7gwnx" Type="http://schemas.openxmlformats.org/officeDocument/2006/relationships/hyperlink" Target="https://pmc.ncbi.nlm.nih.gov/articles/PMC1117083/" TargetMode="External"/><Relationship Id="rIdkat7gy7dmo6bshschlxby" Type="http://schemas.openxmlformats.org/officeDocument/2006/relationships/hyperlink" Target="https://www.inserm.fr/actualite/comment-evaluer-efficacite-hypnos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2026-10-06T07:15:28.817Z</dcterms:created>
  <dcterms:modified xsi:type="dcterms:W3CDTF">2026-10-06T07:15:28.829Z</dcterms:modified>
</cp:coreProperties>
</file>

<file path=docProps/custom.xml><?xml version="1.0" encoding="utf-8"?>
<Properties xmlns="http://schemas.openxmlformats.org/officeDocument/2006/custom-properties" xmlns:vt="http://schemas.openxmlformats.org/officeDocument/2006/docPropsVTypes"/>
</file>