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0"/>
      </w:pPr>
      <w:r>
        <w:rPr>
          <w:rFonts w:ascii="Calibri" w:cs="Calibri" w:eastAsia="Calibri" w:hAnsi="Calibri"/>
          <w:b/>
          <w:bCs/>
          <w:color w:val="1B3A6B"/>
          <w:sz w:val="36"/>
          <w:szCs w:val="36"/>
        </w:rPr>
        <w:t xml:space="preserve">Veille SERAFIN-PH — Synthèse hebdomadaire</w:t>
      </w:r>
    </w:p>
    <w:p>
      <w:pPr>
        <w:spacing w:after="60" w:before="0"/>
      </w:pPr>
      <w:r>
        <w:rPr>
          <w:rFonts w:ascii="Calibri" w:cs="Calibri" w:eastAsia="Calibri" w:hAnsi="Calibri"/>
          <w:b/>
          <w:bCs/>
          <w:i w:val="false"/>
          <w:iCs w:val="false"/>
          <w:color w:val="1F2937"/>
          <w:sz w:val="22"/>
          <w:szCs w:val="22"/>
        </w:rPr>
        <w:t xml:space="preserve">Date de production : </w:t>
      </w:r>
      <w:r>
        <w:rPr>
          <w:rFonts w:ascii="Calibri" w:cs="Calibri" w:eastAsia="Calibri" w:hAnsi="Calibri"/>
          <w:b w:val="false"/>
          <w:bCs w:val="false"/>
          <w:i w:val="false"/>
          <w:iCs w:val="false"/>
          <w:color w:val="1F2937"/>
          <w:sz w:val="22"/>
          <w:szCs w:val="22"/>
        </w:rPr>
        <w:t xml:space="preserve">07/10/2026</w:t>
      </w:r>
      <w:r>
        <w:rPr>
          <w:rFonts w:ascii="Calibri" w:cs="Calibri" w:eastAsia="Calibri" w:hAnsi="Calibri"/>
          <w:b/>
          <w:bCs/>
          <w:i w:val="false"/>
          <w:iCs w:val="false"/>
          <w:color w:val="1F2937"/>
          <w:sz w:val="22"/>
          <w:szCs w:val="22"/>
        </w:rPr>
        <w:t xml:space="preserve">   |   Fenêtre de veille : </w:t>
      </w:r>
      <w:r>
        <w:rPr>
          <w:rFonts w:ascii="Calibri" w:cs="Calibri" w:eastAsia="Calibri" w:hAnsi="Calibri"/>
          <w:b w:val="false"/>
          <w:bCs w:val="false"/>
          <w:i w:val="false"/>
          <w:iCs w:val="false"/>
          <w:color w:val="1F2937"/>
          <w:sz w:val="22"/>
          <w:szCs w:val="22"/>
        </w:rPr>
        <w:t xml:space="preserve">30 septembre 2026 → 07 octobre 2026</w:t>
      </w:r>
    </w:p>
    <w:p>
      <w:pPr>
        <w:spacing w:after="80" w:before="80"/>
      </w:pPr>
    </w:p>
    <w:p>
      <w:pPr>
        <w:pStyle w:val="Heading1"/>
        <w:spacing w:after="100" w:before="200"/>
      </w:pPr>
      <w:r>
        <w:rPr>
          <w:rFonts w:ascii="Calibri" w:cs="Calibri" w:eastAsia="Calibri" w:hAnsi="Calibri"/>
          <w:b/>
          <w:bCs/>
          <w:color w:val="1B3A6B"/>
          <w:sz w:val="28"/>
          <w:szCs w:val="28"/>
        </w:rPr>
        <w:t xml:space="preserve">Sources consultées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gridSpan w:val="1"/>
            <w:shd w:fill="1B3A6B" w:color="1B3A6B" w:val="solid"/>
          </w:tcPr>
          <w:p>
            <w:pPr>
              <w:jc w:val="center"/>
            </w:pPr>
            <w:r>
              <w:rPr>
                <w:rFonts w:ascii="Calibri" w:cs="Calibri" w:eastAsia="Calibri" w:hAnsi="Calibri"/>
                <w:b/>
                <w:bCs/>
                <w:color w:val="FFFFFF"/>
                <w:sz w:val="22"/>
                <w:szCs w:val="22"/>
              </w:rPr>
              <w:t xml:space="preserve">Source</w:t>
            </w:r>
          </w:p>
        </w:tc>
        <w:tc>
          <w:tcPr>
            <w:gridSpan w:val="1"/>
            <w:shd w:fill="1B3A6B" w:color="1B3A6B" w:val="solid"/>
          </w:tcPr>
          <w:p>
            <w:pPr>
              <w:jc w:val="center"/>
            </w:pPr>
            <w:r>
              <w:rPr>
                <w:rFonts w:ascii="Calibri" w:cs="Calibri" w:eastAsia="Calibri" w:hAnsi="Calibri"/>
                <w:b/>
                <w:bCs/>
                <w:color w:val="FFFFFF"/>
                <w:sz w:val="22"/>
                <w:szCs w:val="22"/>
              </w:rPr>
              <w:t xml:space="preserve">Statut</w:t>
            </w:r>
          </w:p>
        </w:tc>
        <w:tc>
          <w:tcPr>
            <w:gridSpan w:val="1"/>
            <w:shd w:fill="1B3A6B" w:color="1B3A6B" w:val="solid"/>
          </w:tcPr>
          <w:p>
            <w:pPr>
              <w:jc w:val="center"/>
            </w:pPr>
            <w:r>
              <w:rPr>
                <w:rFonts w:ascii="Calibri" w:cs="Calibri" w:eastAsia="Calibri" w:hAnsi="Calibri"/>
                <w:b/>
                <w:bCs/>
                <w:color w:val="FFFFFF"/>
                <w:sz w:val="22"/>
                <w:szCs w:val="22"/>
              </w:rPr>
              <w:t xml:space="preserve">URL</w:t>
            </w:r>
          </w:p>
        </w:tc>
        <w:tc>
          <w:tcPr>
            <w:gridSpan w:val="1"/>
            <w:shd w:fill="1B3A6B" w:color="1B3A6B" w:val="solid"/>
          </w:tcPr>
          <w:p>
            <w:pPr>
              <w:jc w:val="center"/>
            </w:pPr>
            <w:r>
              <w:rPr>
                <w:rFonts w:ascii="Calibri" w:cs="Calibri" w:eastAsia="Calibri" w:hAnsi="Calibri"/>
                <w:b/>
                <w:bCs/>
                <w:color w:val="FFFFFF"/>
                <w:sz w:val="22"/>
                <w:szCs w:val="22"/>
              </w:rPr>
              <w:t xml:space="preserve">Date publication</w:t>
            </w:r>
          </w:p>
        </w:tc>
      </w:tr>
      <w:tr>
        <w:tc>
          <w:p>
            <w:pPr>
              <w:jc w:val="left"/>
            </w:pPr>
            <w:r>
              <w:rPr>
                <w:rFonts w:ascii="Calibri" w:cs="Calibri" w:eastAsia="Calibri" w:hAnsi="Calibri"/>
                <w:color w:val="1F2937"/>
                <w:sz w:val="22"/>
                <w:szCs w:val="22"/>
              </w:rPr>
              <w:t xml:space="preserve">handicap.gouv.fr — 14e réunion comité stratégique</w:t>
            </w:r>
          </w:p>
        </w:tc>
        <w:tc>
          <w:p>
            <w:pPr>
              <w:jc w:val="center"/>
            </w:pPr>
            <w:r>
              <w:rPr>
                <w:rFonts w:ascii="Calibri" w:cs="Calibri" w:eastAsia="Calibri" w:hAnsi="Calibri"/>
                <w:color w:val="1F2937"/>
                <w:sz w:val="22"/>
                <w:szCs w:val="22"/>
              </w:rPr>
              <w:t xml:space="preserve">✅ Consultée, reprise</w:t>
            </w:r>
          </w:p>
        </w:tc>
        <w:tc>
          <w:p>
            <w:hyperlink w:history="1" r:id="rIdo0iz1er4rmifnzunpxyye">
              <w:r>
                <w:rPr>
                  <w:rFonts w:ascii="Calibri" w:cs="Calibri" w:eastAsia="Calibri" w:hAnsi="Calibri"/>
                  <w:color w:val="1155CC"/>
                  <w:sz w:val="22"/>
                  <w:szCs w:val="22"/>
                  <w:u w:val="single"/>
                </w:rPr>
                <w:t xml:space="preserve">Voir la page</w:t>
              </w:r>
            </w:hyperlink>
          </w:p>
        </w:tc>
        <w:tc>
          <w:p>
            <w:pPr>
              <w:jc w:val="center"/>
            </w:pPr>
            <w:r>
              <w:rPr>
                <w:rFonts w:ascii="Calibri" w:cs="Calibri" w:eastAsia="Calibri" w:hAnsi="Calibri"/>
                <w:color w:val="1F2937"/>
                <w:sz w:val="22"/>
                <w:szCs w:val="22"/>
              </w:rPr>
              <w:t xml:space="preserve">27/03/2026</w:t>
            </w:r>
          </w:p>
        </w:tc>
      </w:tr>
      <w:tr>
        <w:tc>
          <w:tcPr>
            <w:shd w:fill="EEF2F7" w:color="EEF2F7" w:val="solid"/>
          </w:tcPr>
          <w:p>
            <w:pPr>
              <w:jc w:val="left"/>
            </w:pPr>
            <w:r>
              <w:rPr>
                <w:rFonts w:ascii="Calibri" w:cs="Calibri" w:eastAsia="Calibri" w:hAnsi="Calibri"/>
                <w:color w:val="1F2937"/>
                <w:sz w:val="22"/>
                <w:szCs w:val="22"/>
              </w:rPr>
              <w:t xml:space="preserve">cnsa.fr — Recueil d'informations PH 2026</w:t>
            </w:r>
          </w:p>
        </w:tc>
        <w:tc>
          <w:tcPr>
            <w:shd w:fill="EEF2F7" w:color="EEF2F7" w:val="solid"/>
          </w:tcPr>
          <w:p>
            <w:pPr>
              <w:jc w:val="center"/>
            </w:pPr>
            <w:r>
              <w:rPr>
                <w:rFonts w:ascii="Calibri" w:cs="Calibri" w:eastAsia="Calibri" w:hAnsi="Calibri"/>
                <w:color w:val="1F2937"/>
                <w:sz w:val="22"/>
                <w:szCs w:val="22"/>
              </w:rPr>
              <w:t xml:space="preserve">✅ Consultée, reprise</w:t>
            </w:r>
          </w:p>
        </w:tc>
        <w:tc>
          <w:tcPr>
            <w:shd w:fill="EEF2F7" w:color="EEF2F7" w:val="solid"/>
          </w:tcPr>
          <w:p>
            <w:hyperlink w:history="1" r:id="rIdg9ygtrto1ydm0ra5elwcb">
              <w:r>
                <w:rPr>
                  <w:rFonts w:ascii="Calibri" w:cs="Calibri" w:eastAsia="Calibri" w:hAnsi="Calibri"/>
                  <w:color w:val="1155CC"/>
                  <w:sz w:val="22"/>
                  <w:szCs w:val="22"/>
                  <w:u w:val="single"/>
                </w:rPr>
                <w:t xml:space="preserve">Voir la page</w:t>
              </w:r>
            </w:hyperlink>
          </w:p>
        </w:tc>
        <w:tc>
          <w:tcPr>
            <w:shd w:fill="EEF2F7" w:color="EEF2F7" w:val="solid"/>
          </w:tcPr>
          <w:p>
            <w:pPr>
              <w:jc w:val="center"/>
            </w:pPr>
            <w:r>
              <w:rPr>
                <w:rFonts w:ascii="Calibri" w:cs="Calibri" w:eastAsia="Calibri" w:hAnsi="Calibri"/>
                <w:color w:val="1F2937"/>
                <w:sz w:val="22"/>
                <w:szCs w:val="22"/>
              </w:rPr>
              <w:t xml:space="preserve">17/12/2025</w:t>
            </w:r>
          </w:p>
        </w:tc>
      </w:tr>
      <w:tr>
        <w:tc>
          <w:p>
            <w:pPr>
              <w:jc w:val="left"/>
            </w:pPr>
            <w:r>
              <w:rPr>
                <w:rFonts w:ascii="Calibri" w:cs="Calibri" w:eastAsia="Calibri" w:hAnsi="Calibri"/>
                <w:color w:val="1F2937"/>
                <w:sz w:val="22"/>
                <w:szCs w:val="22"/>
              </w:rPr>
              <w:t xml:space="preserve">cnsa.fr — Page institutionnelle SERAFIN-PH</w:t>
            </w:r>
          </w:p>
        </w:tc>
        <w:tc>
          <w:p>
            <w:pPr>
              <w:jc w:val="center"/>
            </w:pPr>
            <w:r>
              <w:rPr>
                <w:rFonts w:ascii="Calibri" w:cs="Calibri" w:eastAsia="Calibri" w:hAnsi="Calibri"/>
                <w:color w:val="1F2937"/>
                <w:sz w:val="22"/>
                <w:szCs w:val="22"/>
              </w:rPr>
              <w:t xml:space="preserve">✅ Consultée, reprise</w:t>
            </w:r>
          </w:p>
        </w:tc>
        <w:tc>
          <w:p>
            <w:hyperlink w:history="1" r:id="rId5cjwbkuft32hvkhmtct0c">
              <w:r>
                <w:rPr>
                  <w:rFonts w:ascii="Calibri" w:cs="Calibri" w:eastAsia="Calibri" w:hAnsi="Calibri"/>
                  <w:color w:val="1155CC"/>
                  <w:sz w:val="22"/>
                  <w:szCs w:val="22"/>
                  <w:u w:val="single"/>
                </w:rPr>
                <w:t xml:space="preserve">Voir la page</w:t>
              </w:r>
            </w:hyperlink>
          </w:p>
        </w:tc>
        <w:tc>
          <w:p>
            <w:pPr>
              <w:jc w:val="center"/>
            </w:pPr>
            <w:r>
              <w:rPr>
                <w:rFonts w:ascii="Calibri" w:cs="Calibri" w:eastAsia="Calibri" w:hAnsi="Calibri"/>
                <w:color w:val="1F2937"/>
                <w:sz w:val="22"/>
                <w:szCs w:val="22"/>
              </w:rPr>
              <w:t xml:space="preserve">Page institutionnelle</w:t>
            </w:r>
          </w:p>
        </w:tc>
      </w:tr>
      <w:tr>
        <w:tc>
          <w:tcPr>
            <w:shd w:fill="EEF2F7" w:color="EEF2F7" w:val="solid"/>
          </w:tcPr>
          <w:p>
            <w:pPr>
              <w:jc w:val="left"/>
            </w:pPr>
            <w:r>
              <w:rPr>
                <w:rFonts w:ascii="Calibri" w:cs="Calibri" w:eastAsia="Calibri" w:hAnsi="Calibri"/>
                <w:color w:val="1F2937"/>
                <w:sz w:val="22"/>
                <w:szCs w:val="22"/>
              </w:rPr>
              <w:t xml:space="preserve">atih.sante.fr — Modalités de financement des ESMS (section Serafin-PH)</w:t>
            </w:r>
          </w:p>
        </w:tc>
        <w:tc>
          <w:tcPr>
            <w:shd w:fill="EEF2F7" w:color="EEF2F7" w:val="solid"/>
          </w:tcPr>
          <w:p>
            <w:pPr>
              <w:jc w:val="center"/>
            </w:pPr>
            <w:r>
              <w:rPr>
                <w:rFonts w:ascii="Calibri" w:cs="Calibri" w:eastAsia="Calibri" w:hAnsi="Calibri"/>
                <w:color w:val="1F2937"/>
                <w:sz w:val="22"/>
                <w:szCs w:val="22"/>
              </w:rPr>
              <w:t xml:space="preserve">✅ Consultée le 08/10/2026</w:t>
            </w:r>
          </w:p>
        </w:tc>
        <w:tc>
          <w:tcPr>
            <w:shd w:fill="EEF2F7" w:color="EEF2F7" w:val="solid"/>
          </w:tcPr>
          <w:p>
            <w:hyperlink w:history="1" r:id="rIdatih0810corr">
              <w:r>
                <w:rPr>
                  <w:rFonts w:ascii="Calibri" w:cs="Calibri" w:eastAsia="Calibri" w:hAnsi="Calibri"/>
                  <w:color w:val="1155CC"/>
                  <w:sz w:val="22"/>
                  <w:szCs w:val="22"/>
                  <w:u w:val="single"/>
                </w:rPr>
                <w:t xml:space="preserve">Voir la page</w:t>
              </w:r>
            </w:hyperlink>
          </w:p>
        </w:tc>
        <w:tc>
          <w:tcPr>
            <w:shd w:fill="EEF2F7" w:color="EEF2F7" w:val="solid"/>
          </w:tcPr>
          <w:p>
            <w:pPr>
              <w:jc w:val="center"/>
            </w:pPr>
            <w:r>
              <w:rPr>
                <w:rFonts w:ascii="Calibri" w:cs="Calibri" w:eastAsia="Calibri" w:hAnsi="Calibri"/>
                <w:color w:val="1F2937"/>
                <w:sz w:val="22"/>
                <w:szCs w:val="22"/>
              </w:rPr>
              <w:t xml:space="preserve">Page institutionnelle</w:t>
            </w:r>
          </w:p>
        </w:tc>
      </w:tr>
    </w:tbl>
    <w:p>
      <w:pPr>
        <w:spacing w:after="80" w:before="80"/>
      </w:pPr>
    </w:p>
    <w:p>
      <w:pPr>
        <w:pStyle w:val="Heading1"/>
        <w:spacing w:after="100" w:before="200"/>
      </w:pPr>
      <w:r>
        <w:rPr>
          <w:rFonts w:ascii="Calibri" w:cs="Calibri" w:eastAsia="Calibri" w:hAnsi="Calibri"/>
          <w:b/>
          <w:bCs/>
          <w:color w:val="1B3A6B"/>
          <w:sz w:val="28"/>
          <w:szCs w:val="28"/>
        </w:rPr>
        <w:t xml:space="preserve">🔵 En bref — Tableau de bord</w:t>
      </w:r>
    </w:p>
    <w:p>
      <w:pPr>
        <w:spacing w:after="80" w:before="60"/>
      </w:pPr>
      <w:r>
        <w:rPr>
          <w:rFonts w:ascii="Calibri" w:cs="Calibri" w:eastAsia="Calibri" w:hAnsi="Calibri"/>
          <w:b/>
          <w:bCs/>
          <w:color w:val="7B3F00"/>
          <w:sz w:val="22"/>
          <w:szCs w:val="22"/>
        </w:rPr>
        <w:t xml:space="preserve">⚠️ Aucune publication nouvelle sur SERAFIN-PH dans la fenêtre (30/09 – 07/10/2026). handicap.gouv.fr n'a rien publié depuis le 23/09/2026 ; cnsa.fr a publié deux actualités dans la fenêtre (listing </w:t>
      </w:r>
      <w:hyperlink w:history="1" r:id="rIdcnsaactu0810">
        <w:r>
          <w:rPr>
            <w:rFonts w:ascii="Calibri" w:cs="Calibri" w:eastAsia="Calibri" w:hAnsi="Calibri"/>
            <w:color w:val="1155CC"/>
            <w:sz w:val="22"/>
            <w:szCs w:val="22"/>
            <w:u w:val="single"/>
          </w:rPr>
          <w:t xml:space="preserve">cnsa.fr/actualites</w:t>
        </w:r>
      </w:hyperlink>
      <w:r>
        <w:rPr>
          <w:rFonts w:ascii="Calibri" w:cs="Calibri" w:eastAsia="Calibri" w:hAnsi="Calibri"/>
          <w:b w:val="false"/>
          <w:bCs w:val="false"/>
          <w:i w:val="false"/>
          <w:iCs w:val="false"/>
          <w:color w:val="1F2937"/>
          <w:sz w:val="22"/>
          <w:szCs w:val="22"/>
        </w:rPr>
        <w:t xml:space="preserve">, consulté le 08/10/2026), sans rapport avec SERAFIN-PH — « soutien aux aidants dans les territoires » (06/10/2026) et « Mobilisation pour l'habitat intermédiaire : la CNSA recrute 5 territoires pilotes » (07/10/2026). La note présente donc le contexte de référence le plus récent sur la réforme.</w:t>
      </w:r>
      <w:r>
        <w:rPr>
          <w:rFonts w:ascii="Calibri" w:cs="Calibri" w:eastAsia="Calibri" w:hAnsi="Calibri"/>
          <w:b w:val="false"/>
          <w:bCs w:val="false"/>
          <w:i/>
          <w:iCs/>
          <w:color w:val="6B7280"/>
          <w:sz w:val="20"/>
          <w:szCs w:val="20"/>
        </w:rPr>
        <w:t xml:space="preserve"> [Corrigé le 08/10/2026 : la note affirmait « Semaine creuse … aucune publication nouvelle identifiée sur les sources institutionnelles (handicap.gouv.fr, cnsa.fr, atih.sante.fr) ». La conclusion était juste pour SERAFIN-PH et fausse pour les sites : le listing cnsa.fr/actualites porte deux publications dans la fenêtre, dont une du matin même. Ce listing ne figure pas parmi les trois URL consultées, qui sont les trois pages SERAFIN déjà connues, relues]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gridSpan w:val="1"/>
            <w:shd w:fill="1B3A6B" w:color="1B3A6B" w:val="solid"/>
          </w:tcPr>
          <w:p>
            <w:pPr>
              <w:jc w:val="center"/>
            </w:pPr>
            <w:r>
              <w:rPr>
                <w:rFonts w:ascii="Calibri" w:cs="Calibri" w:eastAsia="Calibri" w:hAnsi="Calibri"/>
                <w:b/>
                <w:bCs/>
                <w:color w:val="FFFFFF"/>
                <w:sz w:val="22"/>
                <w:szCs w:val="22"/>
              </w:rPr>
              <w:t xml:space="preserve">Thème</w:t>
            </w:r>
          </w:p>
        </w:tc>
        <w:tc>
          <w:tcPr>
            <w:gridSpan w:val="1"/>
            <w:shd w:fill="1B3A6B" w:color="1B3A6B" w:val="solid"/>
          </w:tcPr>
          <w:p>
            <w:pPr>
              <w:jc w:val="center"/>
            </w:pPr>
            <w:r>
              <w:rPr>
                <w:rFonts w:ascii="Calibri" w:cs="Calibri" w:eastAsia="Calibri" w:hAnsi="Calibri"/>
                <w:b/>
                <w:bCs/>
                <w:color w:val="FFFFFF"/>
                <w:sz w:val="22"/>
                <w:szCs w:val="22"/>
              </w:rPr>
              <w:t xml:space="preserve">Statut</w:t>
            </w:r>
          </w:p>
        </w:tc>
        <w:tc>
          <w:tcPr>
            <w:gridSpan w:val="1"/>
            <w:shd w:fill="1B3A6B" w:color="1B3A6B" w:val="solid"/>
          </w:tcPr>
          <w:p>
            <w:pPr>
              <w:jc w:val="center"/>
            </w:pPr>
            <w:r>
              <w:rPr>
                <w:rFonts w:ascii="Calibri" w:cs="Calibri" w:eastAsia="Calibri" w:hAnsi="Calibri"/>
                <w:b/>
                <w:bCs/>
                <w:color w:val="FFFFFF"/>
                <w:sz w:val="22"/>
                <w:szCs w:val="22"/>
              </w:rPr>
              <w:t xml:space="preserve">Échéance</w:t>
            </w:r>
          </w:p>
        </w:tc>
      </w:tr>
      <w:tr>
        <w:tc>
          <w:p>
            <w:pPr>
              <w:jc w:val="left"/>
            </w:pPr>
            <w:r>
              <w:rPr>
                <w:rFonts w:ascii="Calibri" w:cs="Calibri" w:eastAsia="Calibri" w:hAnsi="Calibri"/>
                <w:color w:val="1F2937"/>
                <w:sz w:val="22"/>
                <w:szCs w:val="22"/>
              </w:rPr>
              <w:t xml:space="preserve">Déploiement opérationnel SERAFIN-PH (secteur enfants)</w:t>
            </w:r>
          </w:p>
        </w:tc>
        <w:tc>
          <w:p>
            <w:pPr>
              <w:jc w:val="left"/>
            </w:pPr>
            <w:r>
              <w:rPr>
                <w:rFonts w:ascii="Calibri" w:cs="Calibri" w:eastAsia="Calibri" w:hAnsi="Calibri"/>
                <w:color w:val="1F2937"/>
                <w:sz w:val="22"/>
                <w:szCs w:val="22"/>
              </w:rPr>
              <w:t xml:space="preserve">✅ Confirmé au 1er janvier 2027</w:t>
            </w:r>
          </w:p>
        </w:tc>
        <w:tc>
          <w:p>
            <w:pPr>
              <w:jc w:val="left"/>
            </w:pPr>
            <w:r>
              <w:rPr>
                <w:rFonts w:ascii="Calibri" w:cs="Calibri" w:eastAsia="Calibri" w:hAnsi="Calibri"/>
                <w:color w:val="1F2937"/>
                <w:sz w:val="22"/>
                <w:szCs w:val="22"/>
              </w:rPr>
              <w:t xml:space="preserve">1er janvier 2027</w:t>
            </w:r>
          </w:p>
        </w:tc>
      </w:tr>
      <w:tr>
        <w:tc>
          <w:tcPr>
            <w:shd w:fill="EEF2F7" w:color="EEF2F7" w:val="solid"/>
          </w:tcPr>
          <w:p>
            <w:pPr>
              <w:jc w:val="left"/>
            </w:pPr>
            <w:r>
              <w:rPr>
                <w:rFonts w:ascii="Calibri" w:cs="Calibri" w:eastAsia="Calibri" w:hAnsi="Calibri"/>
                <w:color w:val="1F2937"/>
                <w:sz w:val="22"/>
                <w:szCs w:val="22"/>
              </w:rPr>
              <w:t xml:space="preserve">Recueil de données PH 2026 — Phase 1 (caractéristiques des places)</w:t>
            </w:r>
          </w:p>
        </w:tc>
        <w:tc>
          <w:tcPr>
            <w:shd w:fill="EEF2F7" w:color="EEF2F7" w:val="solid"/>
          </w:tcPr>
          <w:p>
            <w:pPr>
              <w:jc w:val="left"/>
            </w:pPr>
            <w:r>
              <w:rPr>
                <w:rFonts w:ascii="Calibri" w:cs="Calibri" w:eastAsia="Calibri" w:hAnsi="Calibri"/>
                <w:color w:val="1F2937"/>
                <w:sz w:val="22"/>
                <w:szCs w:val="22"/>
              </w:rPr>
              <w:t xml:space="preserve">🔄 Annoncée pour mars 2026 — achèvement non attesté</w:t>
            </w:r>
          </w:p>
        </w:tc>
        <w:tc>
          <w:tcPr>
            <w:shd w:fill="EEF2F7" w:color="EEF2F7" w:val="solid"/>
          </w:tcPr>
          <w:p>
            <w:pPr>
              <w:jc w:val="left"/>
            </w:pPr>
            <w:r>
              <w:rPr>
                <w:rFonts w:ascii="Calibri" w:cs="Calibri" w:eastAsia="Calibri" w:hAnsi="Calibri"/>
                <w:color w:val="1F2937"/>
                <w:sz w:val="22"/>
                <w:szCs w:val="22"/>
              </w:rPr>
              <w:t xml:space="preserve">Mars 2026 (annoncé)</w:t>
            </w:r>
          </w:p>
        </w:tc>
      </w:tr>
      <w:tr>
        <w:tc>
          <w:p>
            <w:pPr>
              <w:jc w:val="left"/>
            </w:pPr>
            <w:r>
              <w:rPr>
                <w:rFonts w:ascii="Calibri" w:cs="Calibri" w:eastAsia="Calibri" w:hAnsi="Calibri"/>
                <w:color w:val="1F2937"/>
                <w:sz w:val="22"/>
                <w:szCs w:val="22"/>
              </w:rPr>
              <w:t xml:space="preserve">Recueil de données PH 2026 — Phase 2 (dotation complémentaire)</w:t>
            </w:r>
          </w:p>
        </w:tc>
        <w:tc>
          <w:p>
            <w:pPr>
              <w:jc w:val="left"/>
            </w:pPr>
            <w:r>
              <w:rPr>
                <w:rFonts w:ascii="Calibri" w:cs="Calibri" w:eastAsia="Calibri" w:hAnsi="Calibri"/>
                <w:color w:val="1F2937"/>
                <w:sz w:val="22"/>
                <w:szCs w:val="22"/>
              </w:rPr>
              <w:t xml:space="preserve">🔄 Annoncée pour mai 2026 — achèvement non attesté</w:t>
            </w:r>
          </w:p>
        </w:tc>
        <w:tc>
          <w:p>
            <w:pPr>
              <w:jc w:val="left"/>
            </w:pPr>
            <w:r>
              <w:rPr>
                <w:rFonts w:ascii="Calibri" w:cs="Calibri" w:eastAsia="Calibri" w:hAnsi="Calibri"/>
                <w:color w:val="1F2937"/>
                <w:sz w:val="22"/>
                <w:szCs w:val="22"/>
              </w:rPr>
              <w:t xml:space="preserve">Mai 2026 (annoncé)</w:t>
            </w:r>
          </w:p>
        </w:tc>
      </w:tr>
      <w:tr>
        <w:tc>
          <w:tcPr>
            <w:shd w:fill="EEF2F7" w:color="EEF2F7" w:val="solid"/>
          </w:tcPr>
          <w:p>
            <w:pPr>
              <w:jc w:val="left"/>
            </w:pPr>
            <w:r>
              <w:rPr>
                <w:rFonts w:ascii="Calibri" w:cs="Calibri" w:eastAsia="Calibri" w:hAnsi="Calibri"/>
                <w:color w:val="1F2937"/>
                <w:sz w:val="22"/>
                <w:szCs w:val="22"/>
              </w:rPr>
              <w:t xml:space="preserve">Validation et traitement des données collectées</w:t>
            </w:r>
          </w:p>
        </w:tc>
        <w:tc>
          <w:tcPr>
            <w:shd w:fill="EEF2F7" w:color="EEF2F7" w:val="solid"/>
          </w:tcPr>
          <w:p>
            <w:pPr>
              <w:jc w:val="left"/>
            </w:pPr>
            <w:r>
              <w:rPr>
                <w:rFonts w:ascii="Calibri" w:cs="Calibri" w:eastAsia="Calibri" w:hAnsi="Calibri"/>
                <w:color w:val="1F2937"/>
                <w:sz w:val="22"/>
                <w:szCs w:val="22"/>
              </w:rPr>
              <w:t xml:space="preserve">🔄 Annoncé pour l'automne 2026 — non attesté</w:t>
            </w:r>
          </w:p>
        </w:tc>
        <w:tc>
          <w:tcPr>
            <w:shd w:fill="EEF2F7" w:color="EEF2F7" w:val="solid"/>
          </w:tcPr>
          <w:p>
            <w:pPr>
              <w:jc w:val="left"/>
            </w:pPr>
            <w:r>
              <w:rPr>
                <w:rFonts w:ascii="Calibri" w:cs="Calibri" w:eastAsia="Calibri" w:hAnsi="Calibri"/>
                <w:color w:val="1F2937"/>
                <w:sz w:val="22"/>
                <w:szCs w:val="22"/>
              </w:rPr>
              <w:t xml:space="preserve">Automne 2026</w:t>
            </w:r>
          </w:p>
        </w:tc>
      </w:tr>
      <w:tr>
        <w:tc>
          <w:p>
            <w:pPr>
              <w:jc w:val="left"/>
            </w:pPr>
            <w:r>
              <w:rPr>
                <w:rFonts w:ascii="Calibri" w:cs="Calibri" w:eastAsia="Calibri" w:hAnsi="Calibri"/>
                <w:color w:val="1F2937"/>
                <w:sz w:val="22"/>
                <w:szCs w:val="22"/>
              </w:rPr>
              <w:t xml:space="preserve">Transmission des simulations financières aux ESMS</w:t>
            </w:r>
          </w:p>
        </w:tc>
        <w:tc>
          <w:p>
            <w:pPr>
              <w:jc w:val="left"/>
            </w:pPr>
            <w:r>
              <w:rPr>
                <w:rFonts w:ascii="Calibri" w:cs="Calibri" w:eastAsia="Calibri" w:hAnsi="Calibri"/>
                <w:color w:val="1F2937"/>
                <w:sz w:val="22"/>
                <w:szCs w:val="22"/>
              </w:rPr>
              <w:t xml:space="preserve">🔄 Annoncé pour l'automne 2026 — non attesté</w:t>
            </w:r>
          </w:p>
        </w:tc>
        <w:tc>
          <w:p>
            <w:pPr>
              <w:jc w:val="left"/>
            </w:pPr>
            <w:r>
              <w:rPr>
                <w:rFonts w:ascii="Calibri" w:cs="Calibri" w:eastAsia="Calibri" w:hAnsi="Calibri"/>
                <w:color w:val="1F2937"/>
                <w:sz w:val="22"/>
                <w:szCs w:val="22"/>
              </w:rPr>
              <w:t xml:space="preserve">Automne 2026</w:t>
            </w:r>
          </w:p>
        </w:tc>
      </w:tr>
      <w:tr>
        <w:tc>
          <w:tcPr>
            <w:shd w:fill="EEF2F7" w:color="EEF2F7" w:val="solid"/>
          </w:tcPr>
          <w:p>
            <w:pPr>
              <w:jc w:val="left"/>
            </w:pPr>
            <w:r>
              <w:rPr>
                <w:rFonts w:ascii="Calibri" w:cs="Calibri" w:eastAsia="Calibri" w:hAnsi="Calibri"/>
                <w:color w:val="1F2937"/>
                <w:sz w:val="22"/>
                <w:szCs w:val="22"/>
              </w:rPr>
              <w:t xml:space="preserve">SIDOBA — Outil de saisie des données SERAFIN-PH</w:t>
            </w:r>
          </w:p>
        </w:tc>
        <w:tc>
          <w:tcPr>
            <w:shd w:fill="EEF2F7" w:color="EEF2F7" w:val="solid"/>
          </w:tcPr>
          <w:p>
            <w:pPr>
              <w:jc w:val="left"/>
            </w:pPr>
            <w:r>
              <w:rPr>
                <w:rFonts w:ascii="Calibri" w:cs="Calibri" w:eastAsia="Calibri" w:hAnsi="Calibri"/>
                <w:color w:val="1F2937"/>
                <w:sz w:val="22"/>
                <w:szCs w:val="22"/>
              </w:rPr>
              <w:t xml:space="preserve">🔄 Recueil lancé à partir du 30/03/2026 ; ouverture de SIDOBA non datée par les sources</w:t>
            </w:r>
          </w:p>
        </w:tc>
        <w:tc>
          <w:tcPr>
            <w:shd w:fill="EEF2F7" w:color="EEF2F7" w:val="solid"/>
          </w:tcPr>
          <w:p>
            <w:pPr>
              <w:jc w:val="left"/>
            </w:pPr>
            <w:r>
              <w:rPr>
                <w:rFonts w:ascii="Calibri" w:cs="Calibri" w:eastAsia="Calibri" w:hAnsi="Calibri"/>
                <w:color w:val="1F2937"/>
                <w:sz w:val="22"/>
                <w:szCs w:val="22"/>
              </w:rPr>
              <w:t xml:space="preserve">Non attesté</w:t>
            </w:r>
          </w:p>
        </w:tc>
      </w:tr>
    </w:tbl>
    <w:p>
      <w:pPr>
        <w:spacing w:after="80" w:before="80"/>
      </w:pPr>
    </w:p>
    <w:p>
      <w:pPr>
        <w:pStyle w:val="Heading1"/>
        <w:spacing w:after="100" w:before="200"/>
      </w:pPr>
      <w:r>
        <w:rPr>
          <w:rFonts w:ascii="Calibri" w:cs="Calibri" w:eastAsia="Calibri" w:hAnsi="Calibri"/>
          <w:b/>
          <w:bCs/>
          <w:color w:val="1B3A6B"/>
          <w:sz w:val="28"/>
          <w:szCs w:val="28"/>
        </w:rPr>
        <w:t xml:space="preserve">📋 Source 1 — handicap.gouv.fr : 14e réunion du comité stratégique</w:t>
      </w:r>
    </w:p>
    <w:p>
      <w:pPr>
        <w:pStyle w:val="Heading2"/>
        <w:spacing w:after="80" w:before="160"/>
      </w:pPr>
      <w:r>
        <w:rPr>
          <w:rFonts w:ascii="Calibri" w:cs="Calibri" w:eastAsia="Calibri" w:hAnsi="Calibri"/>
          <w:b/>
          <w:bCs/>
          <w:color w:val="1B3A6B"/>
          <w:sz w:val="26"/>
          <w:szCs w:val="26"/>
        </w:rPr>
        <w:t xml:space="preserve">Réunion du lundi 23 mars 2026 (déduite : la page écrit « Ce lundi » et ne donne pas la date ; le communiqué est publié le vendredi 27 mars 2026) — article publié le 27 mars 2026</w:t>
      </w:r>
    </w:p>
    <w:p>
      <w:pPr>
        <w:spacing w:after="60" w:before="60"/>
        <w:jc w:val="left"/>
      </w:pPr>
      <w:r>
        <w:rPr>
          <w:rFonts w:ascii="Calibri" w:cs="Calibri" w:eastAsia="Calibri" w:hAnsi="Calibri"/>
          <w:b/>
          <w:bCs/>
          <w:i w:val="false"/>
          <w:iCs w:val="false"/>
          <w:color w:val="1F2937"/>
          <w:sz w:val="22"/>
          <w:szCs w:val="22"/>
        </w:rPr>
        <w:t xml:space="preserve">Présidence : </w:t>
      </w:r>
      <w:r>
        <w:rPr>
          <w:rFonts w:ascii="Calibri" w:cs="Calibri" w:eastAsia="Calibri" w:hAnsi="Calibri"/>
          <w:b w:val="false"/>
          <w:bCs w:val="false"/>
          <w:i w:val="false"/>
          <w:iCs w:val="false"/>
          <w:color w:val="1F2937"/>
          <w:sz w:val="22"/>
          <w:szCs w:val="22"/>
        </w:rPr>
        <w:t xml:space="preserve">Camille Galliard-Minier, ministre chargée de l'Autonomie et des Personnes handicapées.</w:t>
      </w:r>
      <w:r>
        <w:rPr>
          <w:rFonts w:ascii="Calibri" w:cs="Calibri" w:eastAsia="Calibri" w:hAnsi="Calibri"/>
          <w:b w:val="false"/>
          <w:bCs w:val="false"/>
          <w:i/>
          <w:iCs/>
          <w:color w:val="6B7280"/>
          <w:sz w:val="20"/>
          <w:szCs w:val="20"/>
        </w:rPr>
        <w:t xml:space="preserve"> [Corrigé le 08/10/2026 : la note écrivait « ministre déléguée chargée de l'Autonomie » ; le communiqué et deux autres entrées du site ministériel écrivent « ministre chargée de l'Autonomie et des Personnes handicapées », sans « déléguée »]</w:t>
      </w:r>
    </w:p>
    <w:p>
      <w:pPr>
        <w:spacing w:after="60" w:before="60"/>
        <w:jc w:val="left"/>
      </w:pPr>
      <w:r>
        <w:rPr>
          <w:rFonts w:ascii="Calibri" w:cs="Calibri" w:eastAsia="Calibri" w:hAnsi="Calibri"/>
          <w:b/>
          <w:bCs/>
          <w:i w:val="false"/>
          <w:iCs w:val="false"/>
          <w:color w:val="1F2937"/>
          <w:sz w:val="22"/>
          <w:szCs w:val="22"/>
        </w:rPr>
        <w:t xml:space="preserve">Décision principale : </w:t>
      </w:r>
      <w:r>
        <w:rPr>
          <w:rFonts w:ascii="Calibri" w:cs="Calibri" w:eastAsia="Calibri" w:hAnsi="Calibri"/>
          <w:b w:val="false"/>
          <w:bCs w:val="false"/>
          <w:i w:val="false"/>
          <w:iCs w:val="false"/>
          <w:color w:val="1F2937"/>
          <w:sz w:val="22"/>
          <w:szCs w:val="22"/>
        </w:rPr>
        <w:t xml:space="preserve">Confirmation de la mise en œuvre opérationnelle de la réforme tarifaire au </w:t>
      </w:r>
      <w:r>
        <w:rPr>
          <w:rFonts w:ascii="Calibri" w:cs="Calibri" w:eastAsia="Calibri" w:hAnsi="Calibri"/>
          <w:b/>
          <w:bCs/>
          <w:i w:val="false"/>
          <w:iCs w:val="false"/>
          <w:color w:val="1F2937"/>
          <w:sz w:val="22"/>
          <w:szCs w:val="22"/>
        </w:rPr>
        <w:t xml:space="preserve">1er janvier 2027</w:t>
      </w:r>
      <w:r>
        <w:rPr>
          <w:rFonts w:ascii="Calibri" w:cs="Calibri" w:eastAsia="Calibri" w:hAnsi="Calibri"/>
          <w:b w:val="false"/>
          <w:bCs w:val="false"/>
          <w:i w:val="false"/>
          <w:iCs w:val="false"/>
          <w:color w:val="1F2937"/>
          <w:sz w:val="22"/>
          <w:szCs w:val="22"/>
        </w:rPr>
        <w:t xml:space="preserve"> pour les ESMS handicap du secteur « enfant », selon les mots du communiqué.</w:t>
      </w:r>
      <w:r>
        <w:rPr>
          <w:rFonts w:ascii="Calibri" w:cs="Calibri" w:eastAsia="Calibri" w:hAnsi="Calibri"/>
          <w:b w:val="false"/>
          <w:bCs w:val="false"/>
          <w:i/>
          <w:iCs/>
          <w:color w:val="6B7280"/>
          <w:sz w:val="20"/>
          <w:szCs w:val="20"/>
        </w:rPr>
        <w:t xml:space="preserve"> [Corrigé le 08/10/2026 : la note écrivait « pour les ESMS du secteur enfants et adolescents ». Le communiqué écrit « pour les ESMS (établissement ou service médico-social) handicap du secteur « enfant » », et le mot « adolescents » ne figure sur aucune des trois pages consultées]</w:t>
      </w:r>
    </w:p>
    <w:p>
      <w:pPr>
        <w:spacing w:after="60" w:before="60"/>
        <w:jc w:val="left"/>
      </w:pPr>
      <w:r>
        <w:rPr>
          <w:rFonts w:ascii="Calibri" w:cs="Calibri" w:eastAsia="Calibri" w:hAnsi="Calibri"/>
          <w:b/>
          <w:bCs/>
          <w:i w:val="false"/>
          <w:iCs w:val="false"/>
          <w:color w:val="1F2937"/>
          <w:sz w:val="22"/>
          <w:szCs w:val="22"/>
        </w:rPr>
        <w:t xml:space="preserve">Étapes annoncées lors du comité :</w:t>
      </w:r>
    </w:p>
    <w:p>
      <w:pPr>
        <w:pStyle w:val="ListParagraph"/>
        <w:numPr>
          <w:ilvl w:val="0"/>
          <w:numId w:val="1"/>
        </w:numPr>
        <w:spacing w:after="40" w:before="40"/>
      </w:pPr>
      <w:r>
        <w:rPr>
          <w:rFonts w:ascii="Calibri" w:cs="Calibri" w:eastAsia="Calibri" w:hAnsi="Calibri"/>
          <w:b w:val="false"/>
          <w:bCs w:val="false"/>
          <w:i w:val="false"/>
          <w:iCs w:val="false"/>
          <w:color w:val="1F2937"/>
          <w:sz w:val="22"/>
          <w:szCs w:val="22"/>
        </w:rPr>
        <w:t xml:space="preserve">Lancement du recueil de données à partir du 30 mars 2026 ; le communiqué ne nomme pas SIDOBA, l'outil est nommé sur les deux pages de la CNSA.</w:t>
      </w:r>
    </w:p>
    <w:p>
      <w:pPr>
        <w:pStyle w:val="ListParagraph"/>
        <w:numPr>
          <w:ilvl w:val="0"/>
          <w:numId w:val="1"/>
        </w:numPr>
        <w:spacing w:after="40" w:before="40"/>
      </w:pPr>
      <w:r>
        <w:rPr>
          <w:rFonts w:ascii="Calibri" w:cs="Calibri" w:eastAsia="Calibri" w:hAnsi="Calibri"/>
          <w:b w:val="false"/>
          <w:bCs w:val="false"/>
          <w:i w:val="false"/>
          <w:iCs w:val="false"/>
          <w:color w:val="1F2937"/>
          <w:sz w:val="22"/>
          <w:szCs w:val="22"/>
        </w:rPr>
        <w:t xml:space="preserve">Mobilisation des ARS et des établissements jusqu'à l'automne 2026 pour la saisie et la validation des données.</w:t>
      </w:r>
    </w:p>
    <w:p>
      <w:pPr>
        <w:pStyle w:val="ListParagraph"/>
        <w:numPr>
          <w:ilvl w:val="0"/>
          <w:numId w:val="1"/>
        </w:numPr>
        <w:spacing w:after="40" w:before="40"/>
      </w:pPr>
      <w:r>
        <w:rPr>
          <w:rFonts w:ascii="Calibri" w:cs="Calibri" w:eastAsia="Calibri" w:hAnsi="Calibri"/>
          <w:b w:val="false"/>
          <w:bCs w:val="false"/>
          <w:i w:val="false"/>
          <w:iCs w:val="false"/>
          <w:color w:val="1F2937"/>
          <w:sz w:val="22"/>
          <w:szCs w:val="22"/>
        </w:rPr>
        <w:t xml:space="preserve">Transmission des simulations financières aux ESMS à l'issue de la validation des données (automne 2026).</w:t>
      </w:r>
    </w:p>
    <w:p>
      <w:pPr>
        <w:pStyle w:val="ListParagraph"/>
        <w:numPr>
          <w:ilvl w:val="0"/>
          <w:numId w:val="1"/>
        </w:numPr>
        <w:spacing w:after="40" w:before="40"/>
      </w:pPr>
      <w:r>
        <w:rPr>
          <w:rFonts w:ascii="Calibri" w:cs="Calibri" w:eastAsia="Calibri" w:hAnsi="Calibri"/>
          <w:b w:val="false"/>
          <w:bCs w:val="false"/>
          <w:i w:val="false"/>
          <w:iCs w:val="false"/>
          <w:color w:val="1F2937"/>
          <w:sz w:val="22"/>
          <w:szCs w:val="22"/>
        </w:rPr>
        <w:t xml:space="preserve">Déploiement de l'accompagnement : webinaires, réunions régionales, ressources pédagogiques.</w:t>
      </w:r>
    </w:p>
    <w:p>
      <w:pPr>
        <w:pStyle w:val="ListParagraph"/>
        <w:numPr>
          <w:ilvl w:val="0"/>
          <w:numId w:val="1"/>
        </w:numPr>
        <w:spacing w:after="40" w:before="40"/>
      </w:pPr>
      <w:r>
        <w:rPr>
          <w:rFonts w:ascii="Calibri" w:cs="Calibri" w:eastAsia="Calibri" w:hAnsi="Calibri"/>
          <w:b w:val="false"/>
          <w:bCs w:val="false"/>
          <w:i w:val="false"/>
          <w:iCs w:val="false"/>
          <w:color w:val="1F2937"/>
          <w:sz w:val="22"/>
          <w:szCs w:val="22"/>
        </w:rPr>
        <w:t xml:space="preserve">Structuration d'un programme de formation en cours.</w:t>
      </w:r>
    </w:p>
    <w:p>
      <w:pPr>
        <w:spacing w:after="60" w:before="60"/>
        <w:jc w:val="left"/>
      </w:pPr>
      <w:r>
        <w:rPr>
          <w:rFonts w:ascii="Calibri" w:cs="Calibri" w:eastAsia="Calibri" w:hAnsi="Calibri"/>
          <w:b w:val="false"/>
          <w:bCs w:val="false"/>
          <w:i w:val="false"/>
          <w:iCs w:val="false"/>
          <w:color w:val="1F2937"/>
          <w:sz w:val="22"/>
          <w:szCs w:val="22"/>
        </w:rPr>
        <w:t xml:space="preserve">Source : </w:t>
      </w:r>
      <w:hyperlink w:history="1" r:id="rId-wluawa06yqo6z0un6eqo">
        <w:r>
          <w:rPr>
            <w:rFonts w:ascii="Calibri" w:cs="Calibri" w:eastAsia="Calibri" w:hAnsi="Calibri"/>
            <w:color w:val="1155CC"/>
            <w:sz w:val="22"/>
            <w:szCs w:val="22"/>
            <w:u w:val="single"/>
          </w:rPr>
          <w:t xml:space="preserve">handicap.gouv.fr — 14e réunion du comité stratégique (27/03/2026)</w:t>
        </w:r>
      </w:hyperlink>
    </w:p>
    <w:p>
      <w:pPr>
        <w:spacing w:after="80" w:before="80"/>
      </w:pPr>
    </w:p>
    <w:p>
      <w:pPr>
        <w:pStyle w:val="Heading1"/>
        <w:spacing w:after="100" w:before="200"/>
      </w:pPr>
      <w:r>
        <w:rPr>
          <w:rFonts w:ascii="Calibri" w:cs="Calibri" w:eastAsia="Calibri" w:hAnsi="Calibri"/>
          <w:b/>
          <w:bCs/>
          <w:color w:val="1B3A6B"/>
          <w:sz w:val="28"/>
          <w:szCs w:val="28"/>
        </w:rPr>
        <w:t xml:space="preserve">📋 Source 2 — cnsa.fr : Recueil d'informations PH 2026</w:t>
      </w:r>
    </w:p>
    <w:p>
      <w:pPr>
        <w:pStyle w:val="Heading2"/>
        <w:spacing w:after="80" w:before="160"/>
      </w:pPr>
      <w:r>
        <w:rPr>
          <w:rFonts w:ascii="Calibri" w:cs="Calibri" w:eastAsia="Calibri" w:hAnsi="Calibri"/>
          <w:b/>
          <w:bCs/>
          <w:color w:val="1B3A6B"/>
          <w:sz w:val="26"/>
          <w:szCs w:val="26"/>
        </w:rPr>
        <w:t xml:space="preserve">Publication du 17 décembre 2025</w:t>
      </w:r>
    </w:p>
    <w:p>
      <w:pPr>
        <w:spacing w:after="60" w:before="60"/>
        <w:jc w:val="left"/>
      </w:pPr>
      <w:r>
        <w:rPr>
          <w:rFonts w:ascii="Calibri" w:cs="Calibri" w:eastAsia="Calibri" w:hAnsi="Calibri"/>
          <w:b/>
          <w:bCs/>
          <w:i w:val="false"/>
          <w:iCs w:val="false"/>
          <w:color w:val="1F2937"/>
          <w:sz w:val="22"/>
          <w:szCs w:val="22"/>
        </w:rPr>
        <w:t xml:space="preserve">Objectif : </w:t>
      </w:r>
      <w:r>
        <w:rPr>
          <w:rFonts w:ascii="Calibri" w:cs="Calibri" w:eastAsia="Calibri" w:hAnsi="Calibri"/>
          <w:b w:val="false"/>
          <w:bCs w:val="false"/>
          <w:i w:val="false"/>
          <w:iCs w:val="false"/>
          <w:color w:val="1F2937"/>
          <w:sz w:val="22"/>
          <w:szCs w:val="22"/>
        </w:rPr>
        <w:t xml:space="preserve">Recueillir environ 40 variables nécessaires à l'initialisation du modèle de financement SERAFIN-PH. Ce recueil s'inscrit dans une logique d'année blanche (sans incidence sur le financement des structures en 2026), le déploiement effectif intervenant en 2027.</w:t>
      </w:r>
    </w:p>
    <w:p>
      <w:pPr>
        <w:spacing w:after="60" w:before="60"/>
        <w:jc w:val="left"/>
      </w:pPr>
      <w:r>
        <w:rPr>
          <w:rFonts w:ascii="Calibri" w:cs="Calibri" w:eastAsia="Calibri" w:hAnsi="Calibri"/>
          <w:b/>
          <w:bCs/>
          <w:i w:val="false"/>
          <w:iCs w:val="false"/>
          <w:color w:val="1F2937"/>
          <w:sz w:val="22"/>
          <w:szCs w:val="22"/>
        </w:rPr>
        <w:t xml:space="preserve">Deux phases au printemps 2026 :</w:t>
      </w:r>
    </w:p>
    <w:p>
      <w:pPr>
        <w:pStyle w:val="ListParagraph"/>
        <w:numPr>
          <w:ilvl w:val="0"/>
          <w:numId w:val="1"/>
        </w:numPr>
        <w:spacing w:after="40" w:before="40"/>
      </w:pPr>
      <w:r>
        <w:rPr>
          <w:rFonts w:ascii="Calibri" w:cs="Calibri" w:eastAsia="Calibri" w:hAnsi="Calibri"/>
          <w:b w:val="false"/>
          <w:bCs w:val="false"/>
          <w:i w:val="false"/>
          <w:iCs w:val="false"/>
          <w:color w:val="1F2937"/>
          <w:sz w:val="22"/>
          <w:szCs w:val="22"/>
        </w:rPr>
        <w:t xml:space="preserve">Phase 1 (mars 2026) : caractéristiques des places — TERMINÉE.</w:t>
      </w:r>
    </w:p>
    <w:p>
      <w:pPr>
        <w:pStyle w:val="ListParagraph"/>
        <w:numPr>
          <w:ilvl w:val="0"/>
          <w:numId w:val="1"/>
        </w:numPr>
        <w:spacing w:after="40" w:before="40"/>
      </w:pPr>
      <w:r>
        <w:rPr>
          <w:rFonts w:ascii="Calibri" w:cs="Calibri" w:eastAsia="Calibri" w:hAnsi="Calibri"/>
          <w:b w:val="false"/>
          <w:bCs w:val="false"/>
          <w:i w:val="false"/>
          <w:iCs w:val="false"/>
          <w:color w:val="1F2937"/>
          <w:sz w:val="22"/>
          <w:szCs w:val="22"/>
        </w:rPr>
        <w:t xml:space="preserve">Phase 2 (mai 2026) : indicateurs de modulation de l'activité (une dizaine de variables) et de la dotation complémentaire (six variables) — TERMINÉE.</w:t>
      </w:r>
    </w:p>
    <w:p>
      <w:pPr>
        <w:spacing w:after="60" w:before="60"/>
        <w:jc w:val="left"/>
      </w:pPr>
      <w:r>
        <w:rPr>
          <w:rFonts w:ascii="Calibri" w:cs="Calibri" w:eastAsia="Calibri" w:hAnsi="Calibri"/>
          <w:b/>
          <w:bCs/>
          <w:i w:val="false"/>
          <w:iCs w:val="false"/>
          <w:color w:val="1F2937"/>
          <w:sz w:val="22"/>
          <w:szCs w:val="22"/>
        </w:rPr>
        <w:t xml:space="preserve">Acteurs impliqués : </w:t>
      </w:r>
      <w:r>
        <w:rPr>
          <w:rFonts w:ascii="Calibri" w:cs="Calibri" w:eastAsia="Calibri" w:hAnsi="Calibri"/>
          <w:b w:val="false"/>
          <w:bCs w:val="false"/>
          <w:i w:val="false"/>
          <w:iCs w:val="false"/>
          <w:color w:val="1F2937"/>
          <w:sz w:val="22"/>
          <w:szCs w:val="22"/>
        </w:rPr>
        <w:t xml:space="preserve">CNSA, DGCS, ARS, établissements et services médico-sociaux.</w:t>
      </w:r>
    </w:p>
    <w:p>
      <w:pPr>
        <w:spacing w:after="60" w:before="60"/>
        <w:jc w:val="left"/>
      </w:pPr>
      <w:r>
        <w:rPr>
          <w:rFonts w:ascii="Calibri" w:cs="Calibri" w:eastAsia="Calibri" w:hAnsi="Calibri"/>
          <w:b w:val="false"/>
          <w:bCs w:val="false"/>
          <w:i w:val="false"/>
          <w:iCs w:val="false"/>
          <w:color w:val="1F2937"/>
          <w:sz w:val="22"/>
          <w:szCs w:val="22"/>
        </w:rPr>
        <w:t xml:space="preserve">Source : </w:t>
      </w:r>
      <w:hyperlink w:history="1" r:id="rId_30lf6myu7vyuc3bdpvbl">
        <w:r>
          <w:rPr>
            <w:rFonts w:ascii="Calibri" w:cs="Calibri" w:eastAsia="Calibri" w:hAnsi="Calibri"/>
            <w:color w:val="1155CC"/>
            <w:sz w:val="22"/>
            <w:szCs w:val="22"/>
            <w:u w:val="single"/>
          </w:rPr>
          <w:t xml:space="preserve">cnsa.fr — Préparation du recueil PH 2026 (17/12/2025)</w:t>
        </w:r>
      </w:hyperlink>
    </w:p>
    <w:p>
      <w:pPr>
        <w:spacing w:after="80" w:before="80"/>
      </w:pPr>
    </w:p>
    <w:p>
      <w:pPr>
        <w:pStyle w:val="Heading1"/>
        <w:spacing w:after="100" w:before="200"/>
      </w:pPr>
      <w:r>
        <w:rPr>
          <w:rFonts w:ascii="Calibri" w:cs="Calibri" w:eastAsia="Calibri" w:hAnsi="Calibri"/>
          <w:b/>
          <w:bCs/>
          <w:color w:val="1B3A6B"/>
          <w:sz w:val="28"/>
          <w:szCs w:val="28"/>
        </w:rPr>
        <w:t xml:space="preserve">📋 Source 3 — cnsa.fr : Page institutionnelle SERAFIN-PH</w:t>
      </w:r>
    </w:p>
    <w:p>
      <w:pPr>
        <w:spacing w:after="60" w:before="60"/>
        <w:jc w:val="left"/>
      </w:pPr>
      <w:r>
        <w:rPr>
          <w:rFonts w:ascii="Calibri" w:cs="Calibri" w:eastAsia="Calibri" w:hAnsi="Calibri"/>
          <w:b w:val="false"/>
          <w:bCs w:val="false"/>
          <w:i w:val="false"/>
          <w:iCs w:val="false"/>
          <w:color w:val="1F2937"/>
          <w:sz w:val="22"/>
          <w:szCs w:val="22"/>
        </w:rPr>
        <w:t xml:space="preserve">La page institutionnelle de la CNSA écrit que le recueil ciblé 2026 « est organisé entre mars et début juillet 2026 ». Elle mentionne également un </w:t>
      </w:r>
      <w:r>
        <w:rPr>
          <w:rFonts w:ascii="Calibri" w:cs="Calibri" w:eastAsia="Calibri" w:hAnsi="Calibri"/>
          <w:b/>
          <w:bCs/>
          <w:i w:val="false"/>
          <w:iCs w:val="false"/>
          <w:color w:val="1F2937"/>
          <w:sz w:val="22"/>
          <w:szCs w:val="22"/>
        </w:rPr>
        <w:t xml:space="preserve">décret du 13 mai 2026</w:t>
      </w:r>
      <w:r>
        <w:rPr>
          <w:rFonts w:ascii="Calibri" w:cs="Calibri" w:eastAsia="Calibri" w:hAnsi="Calibri"/>
          <w:b w:val="false"/>
          <w:bCs w:val="false"/>
          <w:i w:val="false"/>
          <w:iCs w:val="false"/>
          <w:color w:val="1F2937"/>
          <w:sz w:val="22"/>
          <w:szCs w:val="22"/>
        </w:rPr>
        <w:t xml:space="preserve"> précisant les modalités de transmission des données </w:t>
      </w:r>
      <w:r>
        <w:rPr>
          <w:rFonts w:ascii="Calibri" w:cs="Calibri" w:eastAsia="Calibri" w:hAnsi="Calibri"/>
          <w:b w:val="false"/>
          <w:bCs w:val="false"/>
          <w:i/>
          <w:iCs/>
          <w:color w:val="1F2937"/>
          <w:sz w:val="22"/>
          <w:szCs w:val="22"/>
        </w:rPr>
        <w:t xml:space="preserve">(source secondaire — décret non consulté directement ; texte sur legifrance.fr non vérifié dans cette exécution).</w:t>
      </w:r>
      <w:r>
        <w:rPr>
          <w:rFonts w:ascii="Calibri" w:cs="Calibri" w:eastAsia="Calibri" w:hAnsi="Calibri"/>
          <w:b w:val="false"/>
          <w:bCs w:val="false"/>
          <w:i/>
          <w:iCs/>
          <w:color w:val="6B7280"/>
          <w:sz w:val="20"/>
          <w:szCs w:val="20"/>
        </w:rPr>
        <w:t xml:space="preserve"> [Corrigé le 08/10/2026 : la note écrivait « confirme que le recueil ciblé 2026 s'est conduit » : la page emploie le présent et décrit une fenêtre prévue, elle n'atteste pas un achèvement. Le point de transparence sur le décret du 13 mai 2026, lui, est exact et conservé tel quel]</w:t>
      </w:r>
    </w:p>
    <w:p>
      <w:pPr>
        <w:spacing w:after="60" w:before="60"/>
        <w:jc w:val="left"/>
      </w:pPr>
      <w:r>
        <w:rPr>
          <w:rFonts w:ascii="Calibri" w:cs="Calibri" w:eastAsia="Calibri" w:hAnsi="Calibri"/>
          <w:b w:val="false"/>
          <w:bCs w:val="false"/>
          <w:i w:val="false"/>
          <w:iCs w:val="false"/>
          <w:color w:val="1F2937"/>
          <w:sz w:val="22"/>
          <w:szCs w:val="22"/>
        </w:rPr>
        <w:t xml:space="preserve">Source : </w:t>
      </w:r>
      <w:hyperlink w:history="1" r:id="rIdbqpcfcvcngwcz1ac0jr3w">
        <w:r>
          <w:rPr>
            <w:rFonts w:ascii="Calibri" w:cs="Calibri" w:eastAsia="Calibri" w:hAnsi="Calibri"/>
            <w:color w:val="1155CC"/>
            <w:sz w:val="22"/>
            <w:szCs w:val="22"/>
            <w:u w:val="single"/>
          </w:rPr>
          <w:t xml:space="preserve">cnsa.fr — SERAFIN-PH (page institutionnelle)</w:t>
        </w:r>
      </w:hyperlink>
    </w:p>
    <w:p>
      <w:pPr>
        <w:spacing w:after="80" w:before="80"/>
      </w:pPr>
    </w:p>
    <w:p>
      <w:pPr>
        <w:pStyle w:val="Heading1"/>
        <w:spacing w:after="100" w:before="200"/>
      </w:pPr>
      <w:r>
        <w:rPr>
          <w:rFonts w:ascii="Calibri" w:cs="Calibri" w:eastAsia="Calibri" w:hAnsi="Calibri"/>
          <w:b/>
          <w:bCs/>
          <w:color w:val="1B3A6B"/>
          <w:sz w:val="28"/>
          <w:szCs w:val="28"/>
        </w:rPr>
        <w:t xml:space="preserve">⚠️ Points de vigilance pour les directions d'ESSMS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gridSpan w:val="1"/>
            <w:shd w:fill="1B3A6B" w:color="1B3A6B" w:val="solid"/>
          </w:tcPr>
          <w:p>
            <w:pPr>
              <w:jc w:val="center"/>
            </w:pPr>
            <w:r>
              <w:rPr>
                <w:rFonts w:ascii="Calibri" w:cs="Calibri" w:eastAsia="Calibri" w:hAnsi="Calibri"/>
                <w:b/>
                <w:bCs/>
                <w:color w:val="FFFFFF"/>
                <w:sz w:val="22"/>
                <w:szCs w:val="22"/>
              </w:rPr>
              <w:t xml:space="preserve">⚠️ Point</w:t>
            </w:r>
          </w:p>
        </w:tc>
        <w:tc>
          <w:tcPr>
            <w:gridSpan w:val="1"/>
            <w:shd w:fill="1B3A6B" w:color="1B3A6B" w:val="solid"/>
          </w:tcPr>
          <w:p>
            <w:pPr>
              <w:jc w:val="center"/>
            </w:pPr>
            <w:r>
              <w:rPr>
                <w:rFonts w:ascii="Calibri" w:cs="Calibri" w:eastAsia="Calibri" w:hAnsi="Calibri"/>
                <w:b/>
                <w:bCs/>
                <w:color w:val="FFFFFF"/>
                <w:sz w:val="22"/>
                <w:szCs w:val="22"/>
              </w:rPr>
              <w:t xml:space="preserve">Détail pratique</w:t>
            </w:r>
          </w:p>
        </w:tc>
      </w:tr>
      <w:tr>
        <w:tc>
          <w:p>
            <w:pPr>
              <w:jc w:val="left"/>
            </w:pPr>
            <w:r>
              <w:rPr>
                <w:rFonts w:ascii="Calibri" w:cs="Calibri" w:eastAsia="Calibri" w:hAnsi="Calibri"/>
                <w:color w:val="1F2937"/>
                <w:sz w:val="22"/>
                <w:szCs w:val="22"/>
              </w:rPr>
              <w:t xml:space="preserve">Simulations financières imminentes</w:t>
            </w:r>
          </w:p>
        </w:tc>
        <w:tc>
          <w:p>
            <w:pPr>
              <w:jc w:val="left"/>
            </w:pPr>
            <w:r>
              <w:rPr>
                <w:rFonts w:ascii="Calibri" w:cs="Calibri" w:eastAsia="Calibri" w:hAnsi="Calibri"/>
                <w:color w:val="1F2937"/>
                <w:sz w:val="22"/>
                <w:szCs w:val="22"/>
              </w:rPr>
              <w:t xml:space="preserve">La transmission des simulations financières aux ESMS est attendue en automne 2026, à l'issue de la validation des données. Les directions doivent anticiper la réception et l'analyse de ces simulations dès cette période.</w:t>
            </w:r>
          </w:p>
        </w:tc>
      </w:tr>
      <w:tr>
        <w:tc>
          <w:tcPr>
            <w:shd w:fill="EEF2F7" w:color="EEF2F7" w:val="solid"/>
          </w:tcPr>
          <w:p>
            <w:pPr>
              <w:jc w:val="left"/>
            </w:pPr>
            <w:r>
              <w:rPr>
                <w:rFonts w:ascii="Calibri" w:cs="Calibri" w:eastAsia="Calibri" w:hAnsi="Calibri"/>
                <w:color w:val="1F2937"/>
                <w:sz w:val="22"/>
                <w:szCs w:val="22"/>
              </w:rPr>
              <w:t xml:space="preserve">SIDOBA opérationnelle</w:t>
            </w:r>
          </w:p>
        </w:tc>
        <w:tc>
          <w:tcPr>
            <w:shd w:fill="EEF2F7" w:color="EEF2F7" w:val="solid"/>
          </w:tcPr>
          <w:p>
            <w:pPr>
              <w:jc w:val="left"/>
            </w:pPr>
            <w:r>
              <w:rPr>
                <w:rFonts w:ascii="Calibri" w:cs="Calibri" w:eastAsia="Calibri" w:hAnsi="Calibri"/>
                <w:color w:val="1F2937"/>
                <w:sz w:val="22"/>
                <w:szCs w:val="22"/>
              </w:rPr>
              <w:t xml:space="preserve">Le recueil PH 2026 a été lancé à partir du 30 mars 2026. L'application SERAFIN-PH dans SIDOBA est décrite par la CNSA comme « en cours de développement » au 17/12/2025, et aucune des sources consultées ne date son ouverture. Vérifier auprès de votre ARS où en est la saisie des deux phases du recueil PH 2026 pour votre établissement.</w:t>
            </w:r>
          </w:p>
        </w:tc>
      </w:tr>
      <w:tr>
        <w:tc>
          <w:p>
            <w:pPr>
              <w:jc w:val="left"/>
            </w:pPr>
            <w:r>
              <w:rPr>
                <w:rFonts w:ascii="Calibri" w:cs="Calibri" w:eastAsia="Calibri" w:hAnsi="Calibri"/>
                <w:color w:val="1F2937"/>
                <w:sz w:val="22"/>
                <w:szCs w:val="22"/>
              </w:rPr>
              <w:t xml:space="preserve">Déploiement limité au secteur enfants en 2027</w:t>
            </w:r>
          </w:p>
        </w:tc>
        <w:tc>
          <w:p>
            <w:pPr>
              <w:jc w:val="left"/>
            </w:pPr>
            <w:r>
              <w:rPr>
                <w:rFonts w:ascii="Calibri" w:cs="Calibri" w:eastAsia="Calibri" w:hAnsi="Calibri"/>
                <w:color w:val="1F2937"/>
                <w:sz w:val="22"/>
                <w:szCs w:val="22"/>
              </w:rPr>
              <w:t xml:space="preserve">La page institutionnelle de la CNSA écrit que « cette première phase de déploiement du modèle de financement SERAFIN-PH concerne les établissements et services médico-sociaux accompagnant des enfants et jeunes adultes en situation de handicap » : la vague de 2027 englobe donc des jeunes adultes, et pas seulement le secteur enfance. Le calendrier des ESMS pour adultes n'est pas confirmé dans les sources consultées.</w:t>
            </w:r>
            <w:r>
              <w:rPr>
                <w:rFonts w:ascii="Calibri" w:cs="Calibri" w:eastAsia="Calibri" w:hAnsi="Calibri"/>
                <w:b w:val="false"/>
                <w:bCs w:val="false"/>
                <w:i/>
                <w:iCs/>
                <w:color w:val="6B7280"/>
                <w:sz w:val="20"/>
                <w:szCs w:val="20"/>
              </w:rPr>
              <w:t xml:space="preserve"> [Corrigé le 08/10/2026 : la note écrivait « des enfants et adolescents » et concluait que « le calendrier pour les autres secteurs (adultes) n'est pas encore confirmé » : le mot « adolescents » compte zéro occurrence sur les trois pages, « jeunes adultes » en compte deux sur la page qui définit le périmètre, et l'écart n'est pas de style — il décide si des majeurs maintenus en établissement pour enfants entrent dans la première vague. L'édition du 23/09/2026 portait la phrase nette « Les ESMS adultes ne sont PAS concernés par cette première phase »]</w:t>
            </w:r>
          </w:p>
        </w:tc>
      </w:tr>
      <w:tr>
        <w:tc>
          <w:tcPr>
            <w:shd w:fill="EEF2F7" w:color="EEF2F7" w:val="solid"/>
          </w:tcPr>
          <w:p>
            <w:pPr>
              <w:jc w:val="left"/>
            </w:pPr>
            <w:r>
              <w:rPr>
                <w:rFonts w:ascii="Calibri" w:cs="Calibri" w:eastAsia="Calibri" w:hAnsi="Calibri"/>
                <w:color w:val="1F2937"/>
                <w:sz w:val="22"/>
                <w:szCs w:val="22"/>
              </w:rPr>
              <w:t xml:space="preserve">Modèle de financement : dotation globale + dotation complémentaire</w:t>
            </w:r>
          </w:p>
        </w:tc>
        <w:tc>
          <w:tcPr>
            <w:shd w:fill="EEF2F7" w:color="EEF2F7" w:val="solid"/>
          </w:tcPr>
          <w:p>
            <w:pPr>
              <w:jc w:val="left"/>
            </w:pPr>
            <w:r>
              <w:rPr>
                <w:rFonts w:ascii="Calibri" w:cs="Calibri" w:eastAsia="Calibri" w:hAnsi="Calibri"/>
                <w:color w:val="1F2937"/>
                <w:sz w:val="22"/>
                <w:szCs w:val="22"/>
              </w:rPr>
              <w:t xml:space="preserve">Trois vocabulaires coexistent selon la source. Le communiqué parle de « dotation globale » (et y range le financement des transports). L'actualité de la CNSA parle de « dotation complémentaire (six variables) ». La page de l'ATIH, maîtrise d'œuvre technique du modèle, écrit : « Le modèle retenu est composé : d'une part principale finançant la capacité à accompagner ; d'une part modulation … », et réserve « financements complémentaires » aux accompagnements non encore inclus dans le modèle. Vérifier lequel des trois emploie votre interlocuteur avant de reprendre un terme.</w:t>
            </w:r>
            <w:r>
              <w:rPr>
                <w:rFonts w:ascii="Calibri" w:cs="Calibri" w:eastAsia="Calibri" w:hAnsi="Calibri"/>
                <w:b w:val="false"/>
                <w:bCs w:val="false"/>
                <w:i/>
                <w:iCs/>
                <w:color w:val="6B7280"/>
                <w:sz w:val="20"/>
                <w:szCs w:val="20"/>
              </w:rPr>
              <w:t xml:space="preserve"> [Corrigé le 08/10/2026 : la note tranchait « c'est bien le terme DOTATION COMPLÉMENTAIRE qui fait norme » — une affirmation normative appuyée sur aucune des trois pages consultées, et démentie par la page de l'ATIH que la note déclarait inaccessible]</w:t>
            </w:r>
          </w:p>
        </w:tc>
      </w:tr>
      <w:tr>
        <w:tc>
          <w:p>
            <w:pPr>
              <w:jc w:val="left"/>
            </w:pPr>
            <w:r>
              <w:rPr>
                <w:rFonts w:ascii="Calibri" w:cs="Calibri" w:eastAsia="Calibri" w:hAnsi="Calibri"/>
                <w:color w:val="1F2937"/>
                <w:sz w:val="22"/>
                <w:szCs w:val="22"/>
              </w:rPr>
              <w:t xml:space="preserve">ATIH — page en vigueur retrouvée</w:t>
            </w:r>
          </w:p>
        </w:tc>
        <w:tc>
          <w:p>
            <w:pPr>
              <w:jc w:val="left"/>
            </w:pPr>
            <w:r>
              <w:rPr>
                <w:rFonts w:ascii="Calibri" w:cs="Calibri" w:eastAsia="Calibri" w:hAnsi="Calibri"/>
                <w:color w:val="1F2937"/>
                <w:sz w:val="22"/>
                <w:szCs w:val="22"/>
              </w:rPr>
              <w:t xml:space="preserve">La page de l'ATIH en vigueur est « Modalités pour les établissements et services médico-sociaux », accessible en deux clics depuis le plan du site (HTTP 200, 13 525 caractères, consultée le 08/10/2026). Elle porte une section « Réforme du financement des établissements pour personnes handicapées - Serafin-PH » qui décrit le modèle retenu et les recueils de données déjà exploités par l'Agence.</w:t>
            </w:r>
            <w:r>
              <w:rPr>
                <w:rFonts w:ascii="Calibri" w:cs="Calibri" w:eastAsia="Calibri" w:hAnsi="Calibri"/>
                <w:b w:val="false"/>
                <w:bCs w:val="false"/>
                <w:i/>
                <w:iCs/>
                <w:color w:val="6B7280"/>
                <w:sz w:val="20"/>
                <w:szCs w:val="20"/>
              </w:rPr>
              <w:t xml:space="preserve"> [Corrigé le 08/10/2026 : la note déclarait « Les pages ATIH du recueil national PH 2025 et 2026 renvoient une erreur 404 » et renvoyait le lecteur chercher lui-même la page en vigueur, sans donner une seule adresse — ni celles qui auraient répondu 404, ni celle à consulter. Le document ne consigne pas les URL testées : l'erreur 404 n'était donc pas vérifiable, et la passe A du contrôle commun refusait le document pour un site cité comme source dont aucune page n'est listée. La page en vigueur est désormais citée, testée et listée]</w:t>
            </w:r>
          </w:p>
        </w:tc>
      </w:tr>
    </w:tbl>
    <w:p>
      <w:pPr>
        <w:spacing w:after="80" w:before="80"/>
      </w:pPr>
    </w:p>
    <w:p>
      <w:pPr>
        <w:pStyle w:val="Heading1"/>
        <w:spacing w:after="100" w:before="200"/>
      </w:pPr>
      <w:r>
        <w:rPr>
          <w:rFonts w:ascii="Calibri" w:cs="Calibri" w:eastAsia="Calibri" w:hAnsi="Calibri"/>
          <w:b/>
          <w:bCs/>
          <w:color w:val="1B3A6B"/>
          <w:sz w:val="28"/>
          <w:szCs w:val="28"/>
        </w:rPr>
        <w:t xml:space="preserve">📅 Agenda — Prochains rendez-vous</w:t>
      </w:r>
    </w:p>
    <w:p>
      <w:pPr>
        <w:pStyle w:val="ListParagraph"/>
        <w:numPr>
          <w:ilvl w:val="0"/>
          <w:numId w:val="1"/>
        </w:numPr>
        <w:spacing w:after="60" w:before="60"/>
      </w:pPr>
      <w:r>
        <w:rPr>
          <w:rFonts w:ascii="Calibri" w:cs="Calibri" w:eastAsia="Calibri" w:hAnsi="Calibri"/>
          <w:b w:val="false"/>
          <w:bCs w:val="false"/>
          <w:i w:val="false"/>
          <w:iCs w:val="false"/>
          <w:color w:val="1F2937"/>
          <w:sz w:val="22"/>
          <w:szCs w:val="22"/>
        </w:rPr>
        <w:t xml:space="preserve">[ ] Annoncé — 30 mars 2026 : lancement du recueil PH 2026 (l'ouverture de SIDOBA n'est datée par aucune source).</w:t>
      </w:r>
    </w:p>
    <w:p>
      <w:pPr>
        <w:pStyle w:val="ListParagraph"/>
        <w:numPr>
          <w:ilvl w:val="0"/>
          <w:numId w:val="1"/>
        </w:numPr>
        <w:spacing w:after="60" w:before="60"/>
      </w:pPr>
      <w:r>
        <w:rPr>
          <w:rFonts w:ascii="Calibri" w:cs="Calibri" w:eastAsia="Calibri" w:hAnsi="Calibri"/>
          <w:b w:val="false"/>
          <w:bCs w:val="false"/>
          <w:i w:val="false"/>
          <w:iCs w:val="false"/>
          <w:color w:val="1F2937"/>
          <w:sz w:val="22"/>
          <w:szCs w:val="22"/>
        </w:rPr>
        <w:t xml:space="preserve">[ ] Annoncé — Courant mars 2026 : Phase 1 du recueil PH 2026 (caractéristiques des places), sous réserve de validation CNIL.</w:t>
      </w:r>
    </w:p>
    <w:p>
      <w:pPr>
        <w:pStyle w:val="ListParagraph"/>
        <w:numPr>
          <w:ilvl w:val="0"/>
          <w:numId w:val="1"/>
        </w:numPr>
        <w:spacing w:after="60" w:before="60"/>
      </w:pPr>
      <w:r>
        <w:rPr>
          <w:rFonts w:ascii="Calibri" w:cs="Calibri" w:eastAsia="Calibri" w:hAnsi="Calibri"/>
          <w:b w:val="false"/>
          <w:bCs w:val="false"/>
          <w:i w:val="false"/>
          <w:iCs w:val="false"/>
          <w:color w:val="1F2937"/>
          <w:sz w:val="22"/>
          <w:szCs w:val="22"/>
        </w:rPr>
        <w:t xml:space="preserve">[ ] Annoncé — Courant mai 2026 : Phase 2 du recueil PH 2026 (indicateurs dotation complémentaire), sous réserve de validation CNIL.</w:t>
      </w:r>
    </w:p>
    <w:p>
      <w:pPr>
        <w:pStyle w:val="ListParagraph"/>
        <w:numPr>
          <w:ilvl w:val="0"/>
          <w:numId w:val="1"/>
        </w:numPr>
        <w:spacing w:after="60" w:before="60"/>
      </w:pPr>
      <w:r>
        <w:rPr>
          <w:rFonts w:ascii="Calibri" w:cs="Calibri" w:eastAsia="Calibri" w:hAnsi="Calibri"/>
          <w:b w:val="false"/>
          <w:bCs w:val="false"/>
          <w:i w:val="false"/>
          <w:iCs w:val="false"/>
          <w:color w:val="1F2937"/>
          <w:sz w:val="22"/>
          <w:szCs w:val="22"/>
        </w:rPr>
        <w:t xml:space="preserve">[ ] À venir — Automne 2026 : Validation des données et transmission des simulations financières aux ESMS (annoncé lors du 14e comité stratégique du 23/03/2026).</w:t>
      </w:r>
    </w:p>
    <w:p>
      <w:pPr>
        <w:pStyle w:val="ListParagraph"/>
        <w:numPr>
          <w:ilvl w:val="0"/>
          <w:numId w:val="1"/>
        </w:numPr>
        <w:spacing w:after="60" w:before="60"/>
      </w:pPr>
      <w:r>
        <w:rPr>
          <w:rFonts w:ascii="Calibri" w:cs="Calibri" w:eastAsia="Calibri" w:hAnsi="Calibri"/>
          <w:b w:val="false"/>
          <w:bCs w:val="false"/>
          <w:i w:val="false"/>
          <w:iCs w:val="false"/>
          <w:color w:val="1F2937"/>
          <w:sz w:val="22"/>
          <w:szCs w:val="22"/>
        </w:rPr>
        <w:t xml:space="preserve">[ ] À venir — 1er janvier 2027 : Mise en œuvre opérationnelle de la réforme tarifaire SERAFIN-PH pour les ESMS accompagnant des enfants et jeunes adultes en situation de handicap.</w:t>
      </w:r>
    </w:p>
    <w:p>
      <w:pPr>
        <w:spacing w:after="80" w:before="80"/>
      </w:pPr>
    </w:p>
    <w:p>
      <w:pPr>
        <w:pStyle w:val="Heading1"/>
        <w:spacing w:after="100" w:before="200"/>
      </w:pPr>
      <w:r>
        <w:rPr>
          <w:rFonts w:ascii="Calibri" w:cs="Calibri" w:eastAsia="Calibri" w:hAnsi="Calibri"/>
          <w:b/>
          <w:bCs/>
          <w:color w:val="1B3A6B"/>
          <w:sz w:val="28"/>
          <w:szCs w:val="28"/>
        </w:rPr>
        <w:t xml:space="preserve">📖 Rappel SERAFIN-PH — Rôle des acteurs institutionnels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gridSpan w:val="1"/>
            <w:shd w:fill="1B3A6B" w:color="1B3A6B" w:val="solid"/>
          </w:tcPr>
          <w:p>
            <w:pPr>
              <w:jc w:val="center"/>
            </w:pPr>
            <w:r>
              <w:rPr>
                <w:rFonts w:ascii="Calibri" w:cs="Calibri" w:eastAsia="Calibri" w:hAnsi="Calibri"/>
                <w:b/>
                <w:bCs/>
                <w:color w:val="FFFFFF"/>
                <w:sz w:val="22"/>
                <w:szCs w:val="22"/>
              </w:rPr>
              <w:t xml:space="preserve">Acteur</w:t>
            </w:r>
          </w:p>
        </w:tc>
        <w:tc>
          <w:tcPr>
            <w:gridSpan w:val="1"/>
            <w:shd w:fill="1B3A6B" w:color="1B3A6B" w:val="solid"/>
          </w:tcPr>
          <w:p>
            <w:pPr>
              <w:jc w:val="center"/>
            </w:pPr>
            <w:r>
              <w:rPr>
                <w:rFonts w:ascii="Calibri" w:cs="Calibri" w:eastAsia="Calibri" w:hAnsi="Calibri"/>
                <w:b/>
                <w:bCs/>
                <w:color w:val="FFFFFF"/>
                <w:sz w:val="22"/>
                <w:szCs w:val="22"/>
              </w:rPr>
              <w:t xml:space="preserve">Rôle dans SERAFIN-PH</w:t>
            </w:r>
          </w:p>
        </w:tc>
      </w:tr>
      <w:tr>
        <w:tc>
          <w:p>
            <w:pPr>
              <w:jc w:val="left"/>
            </w:pPr>
            <w:r>
              <w:rPr>
                <w:rFonts w:ascii="Calibri" w:cs="Calibri" w:eastAsia="Calibri" w:hAnsi="Calibri"/>
                <w:color w:val="1F2937"/>
                <w:sz w:val="22"/>
                <w:szCs w:val="22"/>
              </w:rPr>
              <w:t xml:space="preserve">Ministère chargé de l'Autonomie et des Personnes handicapées</w:t>
            </w:r>
          </w:p>
        </w:tc>
        <w:tc>
          <w:p>
            <w:pPr>
              <w:jc w:val="left"/>
            </w:pPr>
            <w:r>
              <w:rPr>
                <w:rFonts w:ascii="Calibri" w:cs="Calibri" w:eastAsia="Calibri" w:hAnsi="Calibri"/>
                <w:color w:val="1F2937"/>
                <w:sz w:val="22"/>
                <w:szCs w:val="22"/>
              </w:rPr>
              <w:t xml:space="preserve">Préside le comité stratégique SERAFIN-PH. Valide les orientations politiques de la réforme tarifaire. En 2026 : Camille Galliard-Minier (ministre chargée de l'Autonomie et des Personnes handicapées).</w:t>
            </w:r>
          </w:p>
        </w:tc>
      </w:tr>
      <w:tr>
        <w:tc>
          <w:tcPr>
            <w:shd w:fill="EEF2F7" w:color="EEF2F7" w:val="solid"/>
          </w:tcPr>
          <w:p>
            <w:pPr>
              <w:jc w:val="left"/>
            </w:pPr>
            <w:r>
              <w:rPr>
                <w:rFonts w:ascii="Calibri" w:cs="Calibri" w:eastAsia="Calibri" w:hAnsi="Calibri"/>
                <w:color w:val="1F2937"/>
                <w:sz w:val="22"/>
                <w:szCs w:val="22"/>
              </w:rPr>
              <w:t xml:space="preserve">DGCS (Direction générale de la cohésion sociale)</w:t>
            </w:r>
          </w:p>
        </w:tc>
        <w:tc>
          <w:tcPr>
            <w:shd w:fill="EEF2F7" w:color="EEF2F7" w:val="solid"/>
          </w:tcPr>
          <w:p>
            <w:pPr>
              <w:jc w:val="left"/>
            </w:pPr>
            <w:r>
              <w:rPr>
                <w:rFonts w:ascii="Calibri" w:cs="Calibri" w:eastAsia="Calibri" w:hAnsi="Calibri"/>
                <w:color w:val="1F2937"/>
                <w:sz w:val="22"/>
                <w:szCs w:val="22"/>
              </w:rPr>
              <w:t xml:space="preserve">Co-pilote la réforme avec la CNSA. Assure la production des textes réglementaires (décrets, arrêtés). Ne préside pas le comité stratégique.</w:t>
            </w:r>
          </w:p>
        </w:tc>
      </w:tr>
      <w:tr>
        <w:tc>
          <w:p>
            <w:pPr>
              <w:jc w:val="left"/>
            </w:pPr>
            <w:r>
              <w:rPr>
                <w:rFonts w:ascii="Calibri" w:cs="Calibri" w:eastAsia="Calibri" w:hAnsi="Calibri"/>
                <w:color w:val="1F2937"/>
                <w:sz w:val="22"/>
                <w:szCs w:val="22"/>
              </w:rPr>
              <w:t xml:space="preserve">CNSA (Caisse nationale de solidarité pour l'autonomie)</w:t>
            </w:r>
          </w:p>
        </w:tc>
        <w:tc>
          <w:p>
            <w:pPr>
              <w:jc w:val="left"/>
            </w:pPr>
            <w:r>
              <w:rPr>
                <w:rFonts w:ascii="Calibri" w:cs="Calibri" w:eastAsia="Calibri" w:hAnsi="Calibri"/>
                <w:color w:val="1F2937"/>
                <w:sz w:val="22"/>
                <w:szCs w:val="22"/>
              </w:rPr>
              <w:t xml:space="preserve">Co-pilote opérationnel. Organise le recueil de données (recueil PH, outil SIDOBA), développe le modèle de financement, publie les ressources d'accompagnement pour ARS et ESMS.</w:t>
            </w:r>
          </w:p>
        </w:tc>
      </w:tr>
      <w:tr>
        <w:tc>
          <w:tcPr>
            <w:shd w:fill="EEF2F7" w:color="EEF2F7" w:val="solid"/>
          </w:tcPr>
          <w:p>
            <w:pPr>
              <w:jc w:val="left"/>
            </w:pPr>
            <w:r>
              <w:rPr>
                <w:rFonts w:ascii="Calibri" w:cs="Calibri" w:eastAsia="Calibri" w:hAnsi="Calibri"/>
                <w:color w:val="1F2937"/>
                <w:sz w:val="22"/>
                <w:szCs w:val="22"/>
              </w:rPr>
              <w:t xml:space="preserve">ATIH (Agence technique de l'information sur l'hospitalisation)</w:t>
            </w:r>
          </w:p>
        </w:tc>
        <w:tc>
          <w:tcPr>
            <w:shd w:fill="EEF2F7" w:color="EEF2F7" w:val="solid"/>
          </w:tcPr>
          <w:p>
            <w:pPr>
              <w:jc w:val="left"/>
            </w:pPr>
            <w:r>
              <w:rPr>
                <w:rFonts w:ascii="Calibri" w:cs="Calibri" w:eastAsia="Calibri" w:hAnsi="Calibri"/>
                <w:color w:val="1F2937"/>
                <w:sz w:val="22"/>
                <w:szCs w:val="22"/>
              </w:rPr>
              <w:t xml:space="preserve">Maîtrise d'œuvre technique du recueil national PH. Développe et héberge les outils de collecte de données médico-économiques pour le secteur médico-social.</w:t>
            </w:r>
          </w:p>
        </w:tc>
      </w:tr>
      <w:tr>
        <w:tc>
          <w:p>
            <w:pPr>
              <w:jc w:val="left"/>
            </w:pPr>
            <w:r>
              <w:rPr>
                <w:rFonts w:ascii="Calibri" w:cs="Calibri" w:eastAsia="Calibri" w:hAnsi="Calibri"/>
                <w:color w:val="1F2937"/>
                <w:sz w:val="22"/>
                <w:szCs w:val="22"/>
              </w:rPr>
              <w:t xml:space="preserve">ARS (Agences régionales de santé)</w:t>
            </w:r>
          </w:p>
        </w:tc>
        <w:tc>
          <w:p>
            <w:pPr>
              <w:jc w:val="left"/>
            </w:pPr>
            <w:r>
              <w:rPr>
                <w:rFonts w:ascii="Calibri" w:cs="Calibri" w:eastAsia="Calibri" w:hAnsi="Calibri"/>
                <w:color w:val="1F2937"/>
                <w:sz w:val="22"/>
                <w:szCs w:val="22"/>
              </w:rPr>
              <w:t xml:space="preserve">Mobilisées pour accompagner les établissements dans la saisie des données, valider les données collectées et transmettre les simulations financières aux ESMS.</w:t>
            </w:r>
          </w:p>
        </w:tc>
      </w:tr>
    </w:tbl>
    <w:p>
      <w:pPr>
        <w:spacing w:after="80" w:before="80"/>
      </w:pPr>
    </w:p>
    <w:p>
      <w:pPr>
        <w:pStyle w:val="Heading1"/>
        <w:spacing w:after="100" w:before="200"/>
      </w:pPr>
      <w:r>
        <w:rPr>
          <w:rFonts w:ascii="Calibri" w:cs="Calibri" w:eastAsia="Calibri" w:hAnsi="Calibri"/>
          <w:b/>
          <w:bCs/>
          <w:color w:val="1B3A6B"/>
          <w:sz w:val="28"/>
          <w:szCs w:val="28"/>
        </w:rPr>
        <w:t xml:space="preserve">ℹ️ Informations de production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gridSpan w:val="1"/>
            <w:shd w:fill="1B3A6B" w:color="1B3A6B" w:val="solid"/>
          </w:tcPr>
          <w:p>
            <w:pPr>
              <w:jc w:val="center"/>
            </w:pPr>
            <w:r>
              <w:rPr>
                <w:rFonts w:ascii="Calibri" w:cs="Calibri" w:eastAsia="Calibri" w:hAnsi="Calibri"/>
                <w:b/>
                <w:bCs/>
                <w:color w:val="FFFFFF"/>
                <w:sz w:val="22"/>
                <w:szCs w:val="22"/>
              </w:rPr>
              <w:t xml:space="preserve">Paramètre</w:t>
            </w:r>
          </w:p>
        </w:tc>
        <w:tc>
          <w:tcPr>
            <w:gridSpan w:val="1"/>
            <w:shd w:fill="1B3A6B" w:color="1B3A6B" w:val="solid"/>
          </w:tcPr>
          <w:p>
            <w:pPr>
              <w:jc w:val="center"/>
            </w:pPr>
            <w:r>
              <w:rPr>
                <w:rFonts w:ascii="Calibri" w:cs="Calibri" w:eastAsia="Calibri" w:hAnsi="Calibri"/>
                <w:b/>
                <w:bCs/>
                <w:color w:val="FFFFFF"/>
                <w:sz w:val="22"/>
                <w:szCs w:val="22"/>
              </w:rPr>
              <w:t xml:space="preserve">Valeur</w:t>
            </w:r>
          </w:p>
        </w:tc>
      </w:tr>
      <w:tr>
        <w:tc>
          <w:p>
            <w:pPr>
              <w:jc w:val="left"/>
            </w:pPr>
            <w:r>
              <w:rPr>
                <w:rFonts w:ascii="Calibri" w:cs="Calibri" w:eastAsia="Calibri" w:hAnsi="Calibri"/>
                <w:color w:val="1F2937"/>
                <w:sz w:val="22"/>
                <w:szCs w:val="22"/>
              </w:rPr>
              <w:t xml:space="preserve">Date de production</w:t>
            </w:r>
          </w:p>
        </w:tc>
        <w:tc>
          <w:p>
            <w:pPr>
              <w:jc w:val="left"/>
            </w:pPr>
            <w:r>
              <w:rPr>
                <w:rFonts w:ascii="Calibri" w:cs="Calibri" w:eastAsia="Calibri" w:hAnsi="Calibri"/>
                <w:color w:val="1F2937"/>
                <w:sz w:val="22"/>
                <w:szCs w:val="22"/>
              </w:rPr>
              <w:t xml:space="preserve">07/10/2026</w:t>
            </w:r>
          </w:p>
        </w:tc>
      </w:tr>
      <w:tr>
        <w:tc>
          <w:tcPr>
            <w:shd w:fill="EEF2F7" w:color="EEF2F7" w:val="solid"/>
          </w:tcPr>
          <w:p>
            <w:pPr>
              <w:jc w:val="left"/>
            </w:pPr>
            <w:r>
              <w:rPr>
                <w:rFonts w:ascii="Calibri" w:cs="Calibri" w:eastAsia="Calibri" w:hAnsi="Calibri"/>
                <w:color w:val="1F2937"/>
                <w:sz w:val="22"/>
                <w:szCs w:val="22"/>
              </w:rPr>
              <w:t xml:space="preserve">Fenêtre de veille</w:t>
            </w:r>
          </w:p>
        </w:tc>
        <w:tc>
          <w:tcPr>
            <w:shd w:fill="EEF2F7" w:color="EEF2F7" w:val="solid"/>
          </w:tcPr>
          <w:p>
            <w:pPr>
              <w:jc w:val="left"/>
            </w:pPr>
            <w:r>
              <w:rPr>
                <w:rFonts w:ascii="Calibri" w:cs="Calibri" w:eastAsia="Calibri" w:hAnsi="Calibri"/>
                <w:color w:val="1F2937"/>
                <w:sz w:val="22"/>
                <w:szCs w:val="22"/>
              </w:rPr>
              <w:t xml:space="preserve">30 septembre 2026 → 07 octobre 2026</w:t>
            </w:r>
          </w:p>
        </w:tc>
      </w:tr>
      <w:tr>
        <w:tc>
          <w:p>
            <w:pPr>
              <w:jc w:val="left"/>
            </w:pPr>
            <w:r>
              <w:rPr>
                <w:rFonts w:ascii="Calibri" w:cs="Calibri" w:eastAsia="Calibri" w:hAnsi="Calibri"/>
                <w:color w:val="1F2937"/>
                <w:sz w:val="22"/>
                <w:szCs w:val="22"/>
              </w:rPr>
              <w:t xml:space="preserve">Résultat de la semaine</w:t>
            </w:r>
          </w:p>
        </w:tc>
        <w:tc>
          <w:p>
            <w:pPr>
              <w:jc w:val="left"/>
            </w:pPr>
            <w:r>
              <w:rPr>
                <w:rFonts w:ascii="Calibri" w:cs="Calibri" w:eastAsia="Calibri" w:hAnsi="Calibri"/>
                <w:color w:val="1F2937"/>
                <w:sz w:val="22"/>
                <w:szCs w:val="22"/>
              </w:rPr>
              <w:t xml:space="preserve">Aucune publication SERAFIN-PH dans la fenêtre ; deux actualités CNSA hors sujet (06 et 07/10/2026)</w:t>
            </w:r>
          </w:p>
        </w:tc>
      </w:tr>
      <w:tr>
        <w:tc>
          <w:tcPr>
            <w:shd w:fill="EEF2F7" w:color="EEF2F7" w:val="solid"/>
          </w:tcPr>
          <w:p>
            <w:pPr>
              <w:jc w:val="left"/>
            </w:pPr>
            <w:r>
              <w:rPr>
                <w:rFonts w:ascii="Calibri" w:cs="Calibri" w:eastAsia="Calibri" w:hAnsi="Calibri"/>
                <w:color w:val="1F2937"/>
                <w:sz w:val="22"/>
                <w:szCs w:val="22"/>
              </w:rPr>
              <w:t xml:space="preserve">Sources consultées (✅)</w:t>
            </w:r>
          </w:p>
        </w:tc>
        <w:tc>
          <w:tcPr>
            <w:shd w:fill="EEF2F7" w:color="EEF2F7" w:val="solid"/>
          </w:tcPr>
          <w:p>
            <w:pPr>
              <w:jc w:val="left"/>
            </w:pPr>
            <w:r>
              <w:rPr>
                <w:rFonts w:ascii="Calibri" w:cs="Calibri" w:eastAsia="Calibri" w:hAnsi="Calibri"/>
                <w:color w:val="1F2937"/>
                <w:sz w:val="22"/>
                <w:szCs w:val="22"/>
              </w:rPr>
              <w:t xml:space="preserve">4/4 (handicap.gouv.fr, cnsa.fr ×2, atih.sante.fr) + le listing cnsa.fr/actualites</w:t>
            </w:r>
          </w:p>
        </w:tc>
      </w:tr>
      <w:tr>
        <w:tc>
          <w:p>
            <w:pPr>
              <w:jc w:val="left"/>
            </w:pPr>
            <w:r>
              <w:rPr>
                <w:rFonts w:ascii="Calibri" w:cs="Calibri" w:eastAsia="Calibri" w:hAnsi="Calibri"/>
                <w:color w:val="1F2937"/>
                <w:sz w:val="22"/>
                <w:szCs w:val="22"/>
              </w:rPr>
              <w:t xml:space="preserve">Sources inaccessibles (⛔)</w:t>
            </w:r>
          </w:p>
        </w:tc>
        <w:tc>
          <w:p>
            <w:pPr>
              <w:jc w:val="left"/>
            </w:pPr>
            <w:r>
              <w:rPr>
                <w:rFonts w:ascii="Calibri" w:cs="Calibri" w:eastAsia="Calibri" w:hAnsi="Calibri"/>
                <w:color w:val="1F2937"/>
                <w:sz w:val="22"/>
                <w:szCs w:val="22"/>
              </w:rPr>
              <w:t xml:space="preserve">0/4</w:t>
            </w:r>
          </w:p>
        </w:tc>
      </w:tr>
    </w:tbl>
    <w:p>
      <w:pPr>
        <w:spacing w:before="360" w:after="160" w:line="276"/>
      </w:pPr>
      <w:r>
        <w:rPr>
          <w:rFonts w:ascii="Calibri" w:cs="Calibri" w:eastAsia="Calibri" w:hAnsi="Calibri"/>
          <w:b/>
          <w:bCs/>
          <w:i w:val="false"/>
          <w:iCs w:val="false"/>
          <w:color w:val="1B3A6B"/>
          <w:sz w:val="26"/>
          <w:szCs w:val="26"/>
        </w:rPr>
        <w:t xml:space="preserve">📝 Journal des corrections (08/10/2026)</w:t>
      </w:r>
    </w:p>
    <w:p>
      <w:pPr>
        <w:spacing w:after="120" w:line="276"/>
      </w:pPr>
      <w:r>
        <w:rPr>
          <w:rFonts w:ascii="Calibri" w:cs="Calibri" w:eastAsia="Calibri" w:hAnsi="Calibri"/>
          <w:b w:val="false"/>
          <w:bCs w:val="false"/>
          <w:i w:val="false"/>
          <w:iCs w:val="false"/>
          <w:color w:val="1F2937"/>
          <w:sz w:val="22"/>
          <w:szCs w:val="22"/>
        </w:rPr>
        <w:t xml:space="preserve">Relecture du 08/10/2026. Les trois pages listées ont été rouvertes (toutes en HTTP 200), ainsi que les deux listings d'actualités (cnsa.fr/actualites et le fil de presse de handicap.gouv.fr) et la page de l'ATIH que la note déclarait inaccessible. ⚠️ handicap.gouv.fr est illisible par curl — la page rend 117 caractères de texte derrière un défi JavaScript anti-robot : sa vérification passe obligatoirement par un navigateur. Huit corrections. Les formulations d'origine sont conservées ci-dessous et signalées dans le texte par un marqueur daté.</w:t>
      </w:r>
    </w:p>
    <w:p>
      <w:pPr>
        <w:spacing w:after="120" w:line="276"/>
      </w:pPr>
      <w:r>
        <w:rPr>
          <w:rFonts w:ascii="Calibri" w:cs="Calibri" w:eastAsia="Calibri" w:hAnsi="Calibri"/>
          <w:b w:val="false"/>
          <w:bCs w:val="false"/>
          <w:i w:val="false"/>
          <w:iCs w:val="false"/>
          <w:color w:val="1F2937"/>
          <w:sz w:val="20"/>
          <w:szCs w:val="20"/>
        </w:rPr>
        <w:t xml:space="preserve">1. ATIH — la note citait l'Agence comme source, lui donnait un statut « ⛔ Inaccessible (404) », une ligne de vigilance et une ligne de décompte, sans jamais donner une seule adresse : ni les URL qui auraient répondu 404, ni la page à consulter. L'erreur 404 n'était donc pas vérifiable, et la passe A du contrôle commun refusait le document — un site cité comme source dont aucune page n'est listée. La page en vigueur, « Modalités pour les établissements et services médico-sociaux », est à deux clics du plan du site : elle est désormais citée, listée et testée (HTTP 200, 13 525 caractères, 08/10/2026), et elle porte une section Serafin-PH. Le décompte passe de 3/4 consultées et 1/4 inaccessible à 4/4 et 0/4.</w:t>
      </w:r>
    </w:p>
    <w:p>
      <w:pPr>
        <w:spacing w:after="120" w:line="276"/>
      </w:pPr>
      <w:r>
        <w:rPr>
          <w:rFonts w:ascii="Calibri" w:cs="Calibri" w:eastAsia="Calibri" w:hAnsi="Calibri"/>
          <w:b w:val="false"/>
          <w:bCs w:val="false"/>
          <w:i w:val="false"/>
          <w:iCs w:val="false"/>
          <w:color w:val="1F2937"/>
          <w:sz w:val="20"/>
          <w:szCs w:val="20"/>
        </w:rPr>
        <w:t xml:space="preserve">2. « Semaine creuse » — « aucune publication nouvelle identifiée sur les sources institutionnelles (handicap.gouv.fr, cnsa.fr, atih.sante.fr) » était vrai du thème et faux des sites : handicap.gouv.fr n'a effectivement rien publié depuis le 23/09/2026, mais cnsa.fr a publié deux actualités dans la fenêtre — « soutien aux aidants dans les territoires » le 06/10/2026 et « Mobilisation pour l'habitat intermédiaire » le 07/10/2026, le matin même de l'exécution. Aucune ne concerne SERAFIN-PH. Le constat est restreint au thème et les deux publications sont nommées. Cause : les trois URL consultées sont les trois pages SERAFIN déjà connues, relues ; le listing d'actualités n'y figure pas.</w:t>
      </w:r>
    </w:p>
    <w:p>
      <w:pPr>
        <w:spacing w:after="120" w:line="276"/>
      </w:pPr>
      <w:r>
        <w:rPr>
          <w:rFonts w:ascii="Calibri" w:cs="Calibri" w:eastAsia="Calibri" w:hAnsi="Calibri"/>
          <w:b w:val="false"/>
          <w:bCs w:val="false"/>
          <w:i w:val="false"/>
          <w:iCs w:val="false"/>
          <w:color w:val="1F2937"/>
          <w:sz w:val="20"/>
          <w:szCs w:val="20"/>
        </w:rPr>
        <w:t xml:space="preserve">3. Le périmètre de la première vague — « les ESMS du secteur enfants et adolescents » : le mot « adolescents » compte zéro occurrence sur les trois pages. Le communiqué écrit « les ESMS handicap du secteur « enfant » » ; la page institutionnelle de la CNSA, dans la phrase qui définit le périmètre, écrit « des enfants et jeunes adultes en situation de handicap », deux fois. L'écart n'est pas de style : il décide si des majeurs maintenus en établissement pour enfants entrent dans la vague de 2027. Trois passages corrigés (décision du comité, ligne de vigilance, agenda).</w:t>
      </w:r>
    </w:p>
    <w:p>
      <w:pPr>
        <w:spacing w:after="120" w:line="276"/>
      </w:pPr>
      <w:r>
        <w:rPr>
          <w:rFonts w:ascii="Calibri" w:cs="Calibri" w:eastAsia="Calibri" w:hAnsi="Calibri"/>
          <w:b w:val="false"/>
          <w:bCs w:val="false"/>
          <w:i w:val="false"/>
          <w:iCs w:val="false"/>
          <w:color w:val="1F2937"/>
          <w:sz w:val="20"/>
          <w:szCs w:val="20"/>
        </w:rPr>
        <w:t xml:space="preserve">4. Le titre de la ministre — « ministre déléguée chargée de l'Autonomie et des Personnes handicapées » → « ministre chargée de l'Autonomie et des Personnes handicapées », tel que l'écrivent le communiqué et deux autres entrées du site ministériel. Deux passages corrigés.</w:t>
      </w:r>
    </w:p>
    <w:p>
      <w:pPr>
        <w:spacing w:after="120" w:line="276"/>
      </w:pPr>
      <w:r>
        <w:rPr>
          <w:rFonts w:ascii="Calibri" w:cs="Calibri" w:eastAsia="Calibri" w:hAnsi="Calibri"/>
          <w:b w:val="false"/>
          <w:bCs w:val="false"/>
          <w:i w:val="false"/>
          <w:iCs w:val="false"/>
          <w:color w:val="1F2937"/>
          <w:sz w:val="20"/>
          <w:szCs w:val="20"/>
        </w:rPr>
        <w:t xml:space="preserve">5. Le tableau de bord et l'agenda — six statuts qu'aucune page n'atteste : « ✅ Terminée (mars 2026) », « ✅ Terminée (mai 2026) », « ✅ Ouvert aux ESMS et ARS depuis le 30/03/2026 », deux « 🔄 En cours (automne 2026) », « Opérationnel », et trois « [x] FAIT » à l'agenda. Les sources disent : « Sous réserve de validation par les autorités administratives compétentes (CNIL notamment), cette collecte de données se déroulera en deux phases … Courant mars 2026 … Courant mai 2026 » (CNSA, 17/12/2025) ; « Un recueil ciblé … est organisé entre mars et début juillet 2026 » (page institutionnelle, au présent) ; et SIDOBA y est « une application spécifique en cours de développement » au 17/12/2025, sans date d'ouverture. Aucune page ne dit qu'une phase est terminée ni que SIDOBA est ouverte : les statuts repassent au régime annoncé, avec la réserve CNIL rétablie.</w:t>
      </w:r>
    </w:p>
    <w:p>
      <w:pPr>
        <w:spacing w:after="120" w:line="276"/>
      </w:pPr>
      <w:r>
        <w:rPr>
          <w:rFonts w:ascii="Calibri" w:cs="Calibri" w:eastAsia="Calibri" w:hAnsi="Calibri"/>
          <w:b w:val="false"/>
          <w:bCs w:val="false"/>
          <w:i w:val="false"/>
          <w:iCs w:val="false"/>
          <w:color w:val="1F2937"/>
          <w:sz w:val="20"/>
          <w:szCs w:val="20"/>
        </w:rPr>
        <w:t xml:space="preserve">6. Source 3 — « confirme que le recueil ciblé 2026 s'est conduit entre mars et début juillet 2026 » → « écrit que le recueil ciblé 2026 est organisé entre mars et début juillet 2026 ». La page emploie le présent et décrit une fenêtre prévue. Le point de transparence sur le décret du 13 mai 2026 (« source secondaire — décret non consulté directement ») est exact et conservé tel quel ; il lui manque son numéro, que l'édition du 23/09/2026 donnait et qui n'a pas été vérifié pendant cette relecture.</w:t>
      </w:r>
    </w:p>
    <w:p>
      <w:pPr>
        <w:spacing w:after="120" w:line="276"/>
      </w:pPr>
      <w:r>
        <w:rPr>
          <w:rFonts w:ascii="Calibri" w:cs="Calibri" w:eastAsia="Calibri" w:hAnsi="Calibri"/>
          <w:b w:val="false"/>
          <w:bCs w:val="false"/>
          <w:i w:val="false"/>
          <w:iCs w:val="false"/>
          <w:color w:val="1F2937"/>
          <w:sz w:val="20"/>
          <w:szCs w:val="20"/>
        </w:rPr>
        <w:t xml:space="preserve">7. La date de la réunion et l'outil SIDOBA — « Réunion du 23 mars 2026 » était une déduction juste mais non déclarée : la page écrit « Ce lundi » et ne donne pas la date, le communiqué étant publié le vendredi 27 mars 2026. La déduction est désormais explicite. Et l'ouverture de SIDOBA était rangée parmi les « Étapes annoncées lors du comité » alors que le mot « SIDOBA » compte zéro occurrence sur le communiqué : il est nommé sur les deux pages de la CNSA. L'attribution est rétablie, à deux endroits.</w:t>
      </w:r>
    </w:p>
    <w:p>
      <w:pPr>
        <w:spacing w:after="120" w:line="276"/>
      </w:pPr>
      <w:r>
        <w:rPr>
          <w:rFonts w:ascii="Calibri" w:cs="Calibri" w:eastAsia="Calibri" w:hAnsi="Calibri"/>
          <w:b w:val="false"/>
          <w:bCs w:val="false"/>
          <w:i w:val="false"/>
          <w:iCs w:val="false"/>
          <w:color w:val="1F2937"/>
          <w:sz w:val="20"/>
          <w:szCs w:val="20"/>
        </w:rPr>
        <w:t xml:space="preserve">8. Le vocabulaire du modèle — « c'est bien le terme DOTATION COMPLÉMENTAIRE qui fait norme » était la seule affirmation normative de la note, appuyée sur aucune des trois pages consultées et démentie par la page de l'ATIH que la note déclarait inaccessible : « Le modèle retenu est composé : d'une part principale finançant la capacité à accompagner ; d'une part modulation … », l'ATIH réservant « financements complémentaires » aux accompagnements non encore inclus. Les trois vocabulaires sont désormais exposés côte à côte.</w:t>
      </w:r>
    </w:p>
    <w:p>
      <w:pPr>
        <w:spacing w:after="120" w:line="276"/>
      </w:pPr>
      <w:r>
        <w:rPr>
          <w:rFonts w:ascii="Calibri" w:cs="Calibri" w:eastAsia="Calibri" w:hAnsi="Calibri"/>
          <w:b w:val="false"/>
          <w:bCs w:val="false"/>
          <w:i w:val="false"/>
          <w:iCs w:val="false"/>
          <w:color w:val="1F2937"/>
          <w:sz w:val="20"/>
          <w:szCs w:val="20"/>
        </w:rPr>
        <w:t xml:space="preserve">Non ajouté, et signalé pour mémoire : quatre éléments utiles figurent sur les pages consultées et ne sont pas repris dans cette note, dont la correction n'a pas changé le périmètre — « chaque établissement … devra se préparer au recueil de données et mettre en place des outils de pilotage adaptés » ; « intégrer notamment la question du financement des transports dans la dotation globale » ; « plusieurs groupes de travail dédiés … aux éléments de preuve permettant de confirmer l'auto-évaluation des structures » (communiqué du 27/03/2026) ; et le périmètre d'exclusion de la page institutionnelle — « certains financements portés par les ESMS ne sont pour le moment pas intégrés au périmètre de la réforme … équipes mobiles, dispositifs d'appui à la scolarisation (PAS, DAR, UEMA…), plateformes de répit ».</w:t>
      </w:r>
    </w:p>
    <w:p>
      <w:pPr>
        <w:spacing w:after="120" w:line="276"/>
      </w:pPr>
      <w:r>
        <w:rPr>
          <w:rFonts w:ascii="Calibri" w:cs="Calibri" w:eastAsia="Calibri" w:hAnsi="Calibri"/>
          <w:b w:val="false"/>
          <w:bCs w:val="false"/>
          <w:i/>
          <w:iCs/>
          <w:color w:val="6B7280"/>
          <w:sz w:val="20"/>
          <w:szCs w:val="20"/>
        </w:rPr>
        <w:t xml:space="preserve">Correctif du correctif, même jour : les deux titres d'actualités CNSA cités dans le bandeau étaient prêtés à cnsa.fr sans qu'aucune page listée ne les porte — la passe ㉖ du contrôle commun a refusé le document, à raison. Le listing cnsa.fr/actualites, qui est la page où les deux publications ont été vues et qui manquait aux sources de la note d'origine, est désormais cité et listé.</w:t>
      </w:r>
    </w:p>
    <w:sectPr>
      <w:pgSz w:w="11906" w:h="16838" w:orient="portrait"/>
      <w:pgMar w:top="720" w:right="900" w:bottom="720" w:left="9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F2937"/>
        <w:sz w:val="22"/>
        <w:szCs w:val="22"/>
      </w:rPr>
    </w:rPrDefault>
    <w:pPrDefault>
      <w:pPr>
        <w:spacing w:line="276"/>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o0iz1er4rmifnzunpxyye" Type="http://schemas.openxmlformats.org/officeDocument/2006/relationships/hyperlink" Target="https://handicap.gouv.fr/reforme-tarifaire-des-esms-serafin-ph-14e-reunion-du-comite-strategique" TargetMode="External"/><Relationship Id="rIdg9ygtrto1ydm0ra5elwcb" Type="http://schemas.openxmlformats.org/officeDocument/2006/relationships/hyperlink" Target="https://www.cnsa.fr/actualites/serafin-ph-preparation-du-recueil-dinformations-ph-2026-en-vue-du-deploiement-du-futur" TargetMode="External"/><Relationship Id="rId5cjwbkuft32hvkhmtct0c" Type="http://schemas.openxmlformats.org/officeDocument/2006/relationships/hyperlink" Target="https://www.cnsa.fr/budget-et-financement/serafin-PH" TargetMode="External"/><Relationship Id="rId-wluawa06yqo6z0un6eqo" Type="http://schemas.openxmlformats.org/officeDocument/2006/relationships/hyperlink" Target="https://handicap.gouv.fr/reforme-tarifaire-des-esms-serafin-ph-14e-reunion-du-comite-strategique" TargetMode="External"/><Relationship Id="rId_30lf6myu7vyuc3bdpvbl" Type="http://schemas.openxmlformats.org/officeDocument/2006/relationships/hyperlink" Target="https://www.cnsa.fr/actualites/serafin-ph-preparation-du-recueil-dinformations-ph-2026-en-vue-du-deploiement-du-futur" TargetMode="External"/><Relationship Id="rIdbqpcfcvcngwcz1ac0jr3w" Type="http://schemas.openxmlformats.org/officeDocument/2006/relationships/hyperlink" Target="https://www.cnsa.fr/budget-et-financement/serafin-PH" TargetMode="External"/><Relationship Id="rId13" Type="http://schemas.openxmlformats.org/officeDocument/2006/relationships/fontTable" Target="fontTable.xml"/><Relationship Id="rIdatih0810corr" Type="http://schemas.openxmlformats.org/officeDocument/2006/relationships/hyperlink" Target="https://www.atih.sante.fr/contribuer-au-financement/modalites-pour-les-etablissements-et-services-medico-sociaux" TargetMode="External"/><Relationship Id="rIdcnsaactu0810" Type="http://schemas.openxmlformats.org/officeDocument/2006/relationships/hyperlink" Target="https://www.cnsa.fr/actualites" TargetMode="Externa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2026-10-07T06:06:46.091Z</dcterms:created>
  <dcterms:modified xsi:type="dcterms:W3CDTF">2026-10-07T06:06:46.093Z</dcterms:modified>
</cp:coreProperties>
</file>

<file path=docProps/custom.xml><?xml version="1.0" encoding="utf-8"?>
<Properties xmlns="http://schemas.openxmlformats.org/officeDocument/2006/custom-properties" xmlns:vt="http://schemas.openxmlformats.org/officeDocument/2006/docPropsVTypes"/>
</file>