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Psychopathologie clinique n°03</w:t>
      </w:r>
    </w:p>
    <w:p>
      <w:pPr>
        <w:pStyle w:val="Heading1"/>
        <w:spacing w:after="200"/>
        <w:jc w:val="center"/>
      </w:pPr>
      <w:r>
        <w:rPr>
          <w:rFonts w:ascii="Times New Roman" w:cs="Times New Roman" w:eastAsia="Times New Roman" w:hAnsi="Times New Roman"/>
          <w:b/>
          <w:bCs/>
          <w:color w:val="1B3A6B"/>
          <w:sz w:val="52"/>
          <w:szCs w:val="52"/>
        </w:rPr>
        <w:t xml:space="preserve">Sémiologie psychiatrique : repérer et nommer les signes</w:t>
      </w:r>
    </w:p>
    <w:p>
      <w:pPr>
        <w:spacing w:after="80"/>
        <w:jc w:val="center"/>
      </w:pPr>
      <w:r>
        <w:rPr>
          <w:rFonts w:ascii="Times New Roman" w:cs="Times New Roman" w:eastAsia="Times New Roman" w:hAnsi="Times New Roman"/>
          <w:i/>
          <w:iCs/>
          <w:color w:val="6B7280"/>
          <w:sz w:val="22"/>
          <w:szCs w:val="22"/>
        </w:rPr>
        <w:t xml:space="preserve">29 juin 2026  ·  Module Fondamental — leçon 3 / 16</w:t>
      </w:r>
    </w:p>
    <w:p>
      <w:pPr>
        <w:spacing w:after="300"/>
        <w:jc w:val="center"/>
      </w:pPr>
      <w:r>
        <w:rPr>
          <w:rFonts w:ascii="Times New Roman" w:cs="Times New Roman" w:eastAsia="Times New Roman" w:hAnsi="Times New Roman"/>
          <w:i/>
          <w:iCs/>
          <w:color w:val="9CA3AF"/>
          <w:sz w:val="20"/>
          <w:szCs w:val="20"/>
        </w:rPr>
        <w:t xml:space="preserve">Parcours Psychopathologie clinique — du fondamental à l'avancé</w:t>
      </w:r>
    </w:p>
    <w:p>
      <w:pPr>
        <w:shd w:fill="FEF3C7" w:color="FEF3C7" w:val="solid"/>
        <w:spacing w:after="200" w:before="100"/>
      </w:pPr>
      <w:r>
        <w:rPr>
          <w:rFonts w:ascii="Times New Roman" w:cs="Times New Roman" w:eastAsia="Times New Roman" w:hAnsi="Times New Roman"/>
          <w:b/>
          <w:bCs/>
          <w:color w:val="92400E"/>
          <w:sz w:val="20"/>
          <w:szCs w:val="20"/>
        </w:rPr>
        <w:t xml:space="preserve">⚠️  Cadre déontologique — </w:t>
      </w:r>
      <w:r>
        <w:rPr>
          <w:rFonts w:ascii="Times New Roman" w:cs="Times New Roman" w:eastAsia="Times New Roman" w:hAnsi="Times New Roman"/>
          <w:i/>
          <w:iCs/>
          <w:color w:val="92400E"/>
          <w:sz w:val="20"/>
          <w:szCs w:val="20"/>
        </w:rPr>
        <w:t xml:space="preserve">Ces leçons visent à comprendre la psychopathologie pour mieux observer, accompagner et orienter les personnes. Elles ne constituent en aucun cas un outil de diagnostic, acte réservé aux médecins psychiatres et psychologues cliniciens. Posture requise : non stigmatisante, centrée sur la personne et le rétablissement.</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nommer et distinguer les grands domaines de l'examen clinique psychiatrique (sémiologie),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identifier les principaux signes et symptômes dans chaque domaine (humeur, pensée, perception, 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utiliser un vocabulaire clinique précis pour décrire ce que tu observes — sans poser de diagnostic.</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Lien avec les leçons précédentes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Leçon 1 — Introduction : nous avons posé les grands modèles (médical, psychanalytique, cognitivo-comportemental, phénoménologique, systémique). La sémiologie s'ancre principalement dans le modèle médical et la phénoménologie clinique.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Leçon 2 — Normal et pathologique : nous avons vu que le signe clinique n'a de sens que contextualisé (souffrance, durée, retentissement). C'est exactement l'esprit qui doit guider cette leçon.</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 — La sémiologie psychiatrique</w:t>
      </w:r>
    </w:p>
    <w:p>
      <w:pPr>
        <w:pStyle w:val="Heading3"/>
        <w:spacing w:after="80" w:before="200"/>
      </w:pPr>
      <w:r>
        <w:rPr>
          <w:rFonts w:ascii="Times New Roman" w:cs="Times New Roman" w:eastAsia="Times New Roman" w:hAnsi="Times New Roman"/>
          <w:b/>
          <w:bCs/>
          <w:color w:val="1F2937"/>
          <w:sz w:val="26"/>
          <w:szCs w:val="26"/>
        </w:rPr>
        <w:t xml:space="preserve">1. Définition et enjeux</w:t>
      </w:r>
    </w:p>
    <w:p>
      <w:pPr>
        <w:spacing w:after="100"/>
      </w:pPr>
      <w:r>
        <w:rPr>
          <w:rFonts w:ascii="Times New Roman" w:cs="Times New Roman" w:eastAsia="Times New Roman" w:hAnsi="Times New Roman"/>
          <w:b w:val="false"/>
          <w:bCs w:val="false"/>
          <w:i w:val="false"/>
          <w:iCs w:val="false"/>
          <w:color w:val="1F2937"/>
          <w:sz w:val="22"/>
          <w:szCs w:val="22"/>
        </w:rPr>
        <w:t xml:space="preserve">La sémiologie psychiatrique est l'étude systématique des signes, symptômes et syndromes observables au cours des troubles psychiques. Elle constitue la langue commune des cliniciens — la base partagée qui rend possible la communication, le diagnostic et le suivi.</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Trois niveaux à distinguer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Signe : observé objectivement par le clinicien (ex. : regard vide, ralentissement moteur).</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Symptôme : rapporté subjectivement par la personne (ex. : « je me sens vide », « j'entends des voix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Syndrome : constellation significative de signes et de symptômes (ex. : syndrome dépressif, syndrome confusionnel).</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 La sémiologie, c'est apprendre à regarder sans interpréter trop vite. Observer avant d'expliquer. »</w:t>
      </w:r>
    </w:p>
    <w:p>
      <w:pPr>
        <w:pStyle w:val="Heading3"/>
        <w:spacing w:after="80" w:before="200"/>
      </w:pPr>
      <w:r>
        <w:rPr>
          <w:rFonts w:ascii="Times New Roman" w:cs="Times New Roman" w:eastAsia="Times New Roman" w:hAnsi="Times New Roman"/>
          <w:b/>
          <w:bCs/>
          <w:color w:val="1F2937"/>
          <w:sz w:val="26"/>
          <w:szCs w:val="26"/>
        </w:rPr>
        <w:t xml:space="preserve">2. Les 9 domaines de l'examen clinique psychiatrique</w:t>
      </w:r>
    </w:p>
    <w:p>
      <w:pPr>
        <w:spacing w:after="100"/>
      </w:pPr>
      <w:r>
        <w:rPr>
          <w:rFonts w:ascii="Times New Roman" w:cs="Times New Roman" w:eastAsia="Times New Roman" w:hAnsi="Times New Roman"/>
          <w:b w:val="false"/>
          <w:bCs w:val="false"/>
          <w:i w:val="false"/>
          <w:iCs w:val="false"/>
          <w:color w:val="1F2937"/>
          <w:sz w:val="22"/>
          <w:szCs w:val="22"/>
        </w:rPr>
        <w:t xml:space="preserve">L'examen psychiatrique — équivalent du bilan physique en médecine interne — explore de façon systématique les domaines suivants. Le tableau ci-dessous les récapitule :</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pPr>
              <w:spacing w:after="60"/>
            </w:pPr>
            <w:r>
              <w:rPr>
                <w:rFonts w:ascii="Times New Roman" w:cs="Times New Roman" w:eastAsia="Times New Roman" w:hAnsi="Times New Roman"/>
                <w:b/>
                <w:bCs/>
                <w:color w:val="FFFFFF"/>
                <w:sz w:val="18"/>
                <w:szCs w:val="18"/>
              </w:rPr>
              <w:t xml:space="preserve">Domaine</w:t>
            </w:r>
          </w:p>
        </w:tc>
        <w:tc>
          <w:tcPr>
            <w:shd w:fill="1B3A6B" w:color="1B3A6B" w:val="solid"/>
          </w:tcPr>
          <w:p>
            <w:pPr>
              <w:spacing w:after="60"/>
            </w:pPr>
            <w:r>
              <w:rPr>
                <w:rFonts w:ascii="Times New Roman" w:cs="Times New Roman" w:eastAsia="Times New Roman" w:hAnsi="Times New Roman"/>
                <w:b/>
                <w:bCs/>
                <w:color w:val="FFFFFF"/>
                <w:sz w:val="18"/>
                <w:szCs w:val="18"/>
              </w:rPr>
              <w:t xml:space="preserve">Signes normaux (repères)</w:t>
            </w:r>
          </w:p>
        </w:tc>
        <w:tc>
          <w:tcPr>
            <w:shd w:fill="1B3A6B" w:color="1B3A6B" w:val="solid"/>
          </w:tcPr>
          <w:p>
            <w:pPr>
              <w:spacing w:after="60"/>
            </w:pPr>
            <w:r>
              <w:rPr>
                <w:rFonts w:ascii="Times New Roman" w:cs="Times New Roman" w:eastAsia="Times New Roman" w:hAnsi="Times New Roman"/>
                <w:b/>
                <w:bCs/>
                <w:color w:val="FFFFFF"/>
                <w:sz w:val="18"/>
                <w:szCs w:val="18"/>
              </w:rPr>
              <w:t xml:space="preserve">Signes pathologiques (exemples)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Présentation / Contact</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Hygiène correcte, regard vif, posture adaptée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Négligence corporelle, regard fuyant ou figé, perplexité</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Psychomotricité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Gestuelle souple, débit régulier</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Agitation, ralentissement, catatonie, tics, stéréotypies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Langage / Discours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Articulé, cohérent, adapté au contexte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Logorrhée, mutisme, incohérence, néologismes, persévération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Pensée (cours et contenu)</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Logique, enchaînements clairs</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Fuite des idées, pensée ralentie, délires, obsessions, phobies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Perceptions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Perception adéquate du réel</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Hallucinations (auditives, visuelles…), illusions, déréalisation, dépersonnalisation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Humeur / Affectivité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Euthymie, réactivité émotionnelle adaptée</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Dépression (tristesse, anhédonie), manie (euphorie), émoussement affectif, labilité</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Fonctions cognitives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Orientation T-S correcte, mémoire intacte, attention soutenue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Désorientation, amnésie, apraxie, aphasie, trouble de l'attention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Volonté / Comportement</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Initiative personnelle, comportement adapté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Aboulie, impulsivité, conduites suicidaires, hétéro-agressivité</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Insight et jugement</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Conscience de ses difficultés, jugement préservé</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Anosognosie (déni de la maladie), jugement altéré</w:t>
            </w:r>
          </w:p>
        </w:tc>
      </w:tr>
    </w:tbl>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3. Quelques signes cliniques essentiels à connaître</w:t>
      </w:r>
    </w:p>
    <w:p>
      <w:pPr>
        <w:pStyle w:val="Heading3"/>
        <w:spacing w:after="80" w:before="200"/>
      </w:pPr>
      <w:r>
        <w:rPr>
          <w:rFonts w:ascii="Times New Roman" w:cs="Times New Roman" w:eastAsia="Times New Roman" w:hAnsi="Times New Roman"/>
          <w:b/>
          <w:bCs/>
          <w:color w:val="1F2937"/>
          <w:sz w:val="26"/>
          <w:szCs w:val="26"/>
        </w:rPr>
        <w:t xml:space="preserve">Humeur et thymie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Euthymie : humeur normale, stable.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Hyperthymie / manie : humeur exaltée, expansion du moi, réduction du besoin de sommeil.</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Dépression / mélancolie : tristesse profonde, anhédonie (perte du plaisir), idées noires.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Dysthymie : humeur chroniquement abaissée, mais sans critère de dépression caractérisée.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Labilité émotionnelle : changements rapides et disproportionnés de l'humeur.</w:t>
      </w:r>
    </w:p>
    <w:p>
      <w:pPr>
        <w:pStyle w:val="Heading3"/>
        <w:spacing w:after="80" w:before="200"/>
      </w:pPr>
      <w:r>
        <w:rPr>
          <w:rFonts w:ascii="Times New Roman" w:cs="Times New Roman" w:eastAsia="Times New Roman" w:hAnsi="Times New Roman"/>
          <w:b/>
          <w:bCs/>
          <w:color w:val="1F2937"/>
          <w:sz w:val="26"/>
          <w:szCs w:val="26"/>
        </w:rPr>
        <w:t xml:space="preserve">Pensée — cours et contenu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Tachypsychie : accélération de la pensée (fuite des idées, coq-à-l'âne).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Bradypsychie : ralentissement de la pensée.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Idée délirante : conviction inébranlable, non corrigible par l'argumentation, en rupture avec le réel partagé.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Obsession : pensée intrusive, répétitive, reconnue comme absurde par le sujet mais imposée.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tangentielle / circonstancielle : détours excessifs dans le discours, peine à revenir au sujet.</w:t>
      </w:r>
    </w:p>
    <w:p>
      <w:pPr>
        <w:pStyle w:val="Heading3"/>
        <w:spacing w:after="80" w:before="200"/>
      </w:pPr>
      <w:r>
        <w:rPr>
          <w:rFonts w:ascii="Times New Roman" w:cs="Times New Roman" w:eastAsia="Times New Roman" w:hAnsi="Times New Roman"/>
          <w:b/>
          <w:bCs/>
          <w:color w:val="1F2937"/>
          <w:sz w:val="26"/>
          <w:szCs w:val="26"/>
        </w:rPr>
        <w:t xml:space="preserve">Perceptions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Hallucination : perception sans objet — le cerveau génère un percept sans stimulus externe (ex. : voix, visions).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Illusion : déformation d'un stimulus réel (ex. : interpréter une tache d'humidité comme un visage).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Déréalisation : sentiment que le monde environnant est irréel, comme dans un rêve.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Dépersonnalisation : sentiment que le sujet lui-même est irréel, étranger à lui-même.</w:t>
      </w:r>
    </w:p>
    <w:p>
      <w:pPr>
        <w:pStyle w:val="Heading3"/>
        <w:spacing w:after="80" w:before="200"/>
      </w:pPr>
      <w:r>
        <w:rPr>
          <w:rFonts w:ascii="Times New Roman" w:cs="Times New Roman" w:eastAsia="Times New Roman" w:hAnsi="Times New Roman"/>
          <w:b/>
          <w:bCs/>
          <w:color w:val="1F2937"/>
          <w:sz w:val="26"/>
          <w:szCs w:val="26"/>
        </w:rPr>
        <w:t xml:space="preserve">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Orientation temporo-spatiale : savoir la date, le lieu — altérée dans la confusion mentale.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Attention : capacité à se concentrer — trouble fréquent dans la dépression, le TDAH, la confusion.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Mémoire épisodique, sémantique, procédurale — chacune peut être sélectivement atteinte.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Fonctions exécutives : planification, flexibilité mentale, inhibition — souvent évaluées par des épreuves simples.</w:t>
      </w:r>
    </w:p>
    <w:p>
      <w:pPr>
        <w:pStyle w:val="Heading3"/>
        <w:spacing w:after="80" w:before="200"/>
      </w:pPr>
      <w:r>
        <w:rPr>
          <w:rFonts w:ascii="Times New Roman" w:cs="Times New Roman" w:eastAsia="Times New Roman" w:hAnsi="Times New Roman"/>
          <w:b/>
          <w:bCs/>
          <w:color w:val="1F2937"/>
          <w:sz w:val="26"/>
          <w:szCs w:val="26"/>
        </w:rPr>
        <w:t xml:space="preserve">4. Mnémotechnique ASEPTIC (Mental Status Examination)</w:t>
      </w:r>
    </w:p>
    <w:p>
      <w:pPr>
        <w:spacing w:after="100"/>
      </w:pPr>
      <w:r>
        <w:rPr>
          <w:rFonts w:ascii="Times New Roman" w:cs="Times New Roman" w:eastAsia="Times New Roman" w:hAnsi="Times New Roman"/>
          <w:b w:val="false"/>
          <w:bCs w:val="false"/>
          <w:i w:val="false"/>
          <w:iCs w:val="false"/>
          <w:color w:val="1F2937"/>
          <w:sz w:val="22"/>
          <w:szCs w:val="22"/>
        </w:rPr>
        <w:t xml:space="preserve">Pour structurer un examen de l'état mental, la mnémotechnique anglaise ASEPTIC est utile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 — Appearance (présentation, hygiène)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 — Speech (langage, débit, volume)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E — Emotion (humeur / affect)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 — Perception (hallucinations, illusions)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T — Thought (pensée — cours et contenu)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 — Insight (conscience de la maladie)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 — Cognition (orientation, mémoire, attention)</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Distinction clinique fondamentale — Humeur vs Affect : l'humeur est ce que le patient décrit de son état intérieur (subjectif), l'affect est ce que le clinicien observe dans la gestuelle, le regard, la voix (objectif). Les deux peuvent être incongruents — un patient qui dit « ça va » avec un regard vide et une voix monotone.</w:t>
      </w:r>
    </w:p>
    <w:p>
      <w:r>
        <w:br w:type="page"/>
      </w:r>
    </w:p>
    <w:p>
      <w:pPr>
        <w:pStyle w:val="Heading2"/>
        <w:spacing w:after="120" w:before="300"/>
      </w:pPr>
      <w:r>
        <w:rPr>
          <w:rFonts w:ascii="Times New Roman" w:cs="Times New Roman" w:eastAsia="Times New Roman" w:hAnsi="Times New Roman"/>
          <w:b/>
          <w:bCs/>
          <w:color w:val="1B3A6B"/>
          <w:sz w:val="30"/>
          <w:szCs w:val="30"/>
        </w:rPr>
        <w:t xml:space="preserve">🛠️ Pratique (80 %) —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signes</w:t>
      </w:r>
    </w:p>
    <w:p>
      <w:pPr>
        <w:spacing w:after="100"/>
      </w:pPr>
      <w:r>
        <w:rPr>
          <w:rFonts w:ascii="Times New Roman" w:cs="Times New Roman" w:eastAsia="Times New Roman" w:hAnsi="Times New Roman"/>
          <w:b w:val="false"/>
          <w:bCs w:val="false"/>
          <w:i w:val="false"/>
          <w:iCs w:val="false"/>
          <w:color w:val="1F2937"/>
          <w:sz w:val="22"/>
          <w:szCs w:val="22"/>
        </w:rPr>
        <w:t xml:space="preserve">Objectif : ancrer le vocabulaire sémiologique dans ta mémoire par la reformulation active.</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Prends une feuille (ou un fichier texte) et dessine/écris un tableau à 3 colonnes : Domaine | Je l'explique avec mes mots | Un exemple concret que j'ai observé.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Remplis les 9 domaines du tableau de la section théorie en utilisant tes propres mots — sans relire le cours.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Pour chaque domaine, note un exemple que tu as pu observer, même indirectement : actualité, film, roman, situation professionnelle passée. Ce n'est PAS un diagnostic — juste un ancrage cognitif personnel.</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Critère de réussite :</w:t>
      </w:r>
    </w:p>
    <w:p>
      <w:pPr>
        <w:spacing w:after="100"/>
      </w:pPr>
      <w:r>
        <w:rPr>
          <w:rFonts w:ascii="Times New Roman" w:cs="Times New Roman" w:eastAsia="Times New Roman" w:hAnsi="Times New Roman"/>
          <w:b w:val="false"/>
          <w:bCs w:val="false"/>
          <w:i w:val="false"/>
          <w:iCs w:val="false"/>
          <w:color w:val="1F2937"/>
          <w:sz w:val="22"/>
          <w:szCs w:val="22"/>
        </w:rPr>
        <w:t xml:space="preserve">Tu peux expliquer la différence entre signe / symptôme / syndrome, et citer au moins 2 signes pathologiques dans chaque domaine, sans consulter le cours.</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Durée estimée : 20-30 minutes.</w:t>
      </w:r>
    </w:p>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Vignettes cliniques : identifier les signes</w:t>
      </w:r>
    </w:p>
    <w:p>
      <w:pPr>
        <w:spacing w:after="100"/>
      </w:pPr>
      <w:r>
        <w:rPr>
          <w:rFonts w:ascii="Times New Roman" w:cs="Times New Roman" w:eastAsia="Times New Roman" w:hAnsi="Times New Roman"/>
          <w:b w:val="false"/>
          <w:bCs w:val="false"/>
          <w:i w:val="false"/>
          <w:iCs w:val="false"/>
          <w:color w:val="1F2937"/>
          <w:sz w:val="22"/>
          <w:szCs w:val="22"/>
        </w:rPr>
        <w:t xml:space="preserve">Objectif : entraîner le regard clinique à repérer et nommer les signes — sans diagnostiquer.</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Pour chaque vignette, identifie les signes présents (domaine + terme précis) et ceux qui sont possiblement absents mais à explorer :</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A — Monsieur R., 38 ans :</w:t>
      </w:r>
    </w:p>
    <w:p>
      <w:pPr>
        <w:spacing w:after="100"/>
      </w:pPr>
      <w:r>
        <w:rPr>
          <w:rFonts w:ascii="Times New Roman" w:cs="Times New Roman" w:eastAsia="Times New Roman" w:hAnsi="Times New Roman"/>
          <w:b w:val="false"/>
          <w:bCs w:val="false"/>
          <w:i w:val="false"/>
          <w:iCs w:val="false"/>
          <w:color w:val="1F2937"/>
          <w:sz w:val="22"/>
          <w:szCs w:val="22"/>
        </w:rPr>
        <w:t xml:space="preserve">Monsieur R. arrive à l'entretien en retard, vêtements froissés, barbe de plusieurs jours. Il répond aux questions par monosyllabes, regard dirigé vers le sol. Sa voix est basse, quasi inaudible. Il dit : « Je ne sers à rien ». Il dort 12 heures par nuit mais se lève épuisé. Il a arrêté son activité sportive il y a 3 mois, qu'il adorait.</w:t>
      </w:r>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 Tes observations (avant de lire la correction)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Présentation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Affect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Volonté / Comportement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Cognition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A)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Présentation : négligence corporelle, retard (indice comportemental).</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mutisme relatif, voix basse (bradyphémie).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tristesse exprimée, anhédonie (perte d'intérêt pour le sport).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ralentissement psychomoteur (bradypsychie).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Vigilance / sommeil : hypersomnie non réparatrice — à explorer.</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(contenu) : dévalorisation (« je ne sers à rien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ce tableau clinique est évocateur d'un syndrome dépressif — c'est le psychiatre qui posera ou non ce diagnostic.</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B — Madame S., 52 ans :</w:t>
      </w:r>
    </w:p>
    <w:p>
      <w:pPr>
        <w:spacing w:after="100"/>
      </w:pPr>
      <w:r>
        <w:rPr>
          <w:rFonts w:ascii="Times New Roman" w:cs="Times New Roman" w:eastAsia="Times New Roman" w:hAnsi="Times New Roman"/>
          <w:b w:val="false"/>
          <w:bCs w:val="false"/>
          <w:i w:val="false"/>
          <w:iCs w:val="false"/>
          <w:color w:val="1F2937"/>
          <w:sz w:val="22"/>
          <w:szCs w:val="22"/>
        </w:rPr>
        <w:t xml:space="preserve">Madame S. parle sans s'arrêter dès l'entrée dans la salle. Elle passe d'un sujet à l'autre (son dernier voyage, un projet d'entreprise, ses enfants, le gouvernement). Elle dit se sentir « en pleine forme, jamais eu autant d'énergie ». Elle a dormi 3 heures la nuit précédente et ne s'en plaint pas. Elle rit fréquemment, parfois sans lien avec le propos. Son regard est brillant, expressif.</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B)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logorrhée (débit excessif), coq-à-l'âne (passage d'un sujet à l'autre).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 fuite des idées (tachypsychie).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hyperthymie (humeur expansive, exaltation).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Affect : congruent (les rires correspondent à l'humeur exprimée).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agitation psychomotrice (à observer sur la durée).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Fonctions instinctuelles : réduction du besoin de sommeil sans fatigue — signe classique d'état maniaque.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tableau évocateur d'un état maniaque — diagnostic psychiatrique requis.</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C — Monsieur A., 27 ans :</w:t>
      </w:r>
    </w:p>
    <w:p>
      <w:pPr>
        <w:spacing w:after="100"/>
      </w:pPr>
      <w:r>
        <w:rPr>
          <w:rFonts w:ascii="Times New Roman" w:cs="Times New Roman" w:eastAsia="Times New Roman" w:hAnsi="Times New Roman"/>
          <w:b w:val="false"/>
          <w:bCs w:val="false"/>
          <w:i w:val="false"/>
          <w:iCs w:val="false"/>
          <w:color w:val="1F2937"/>
          <w:sz w:val="22"/>
          <w:szCs w:val="22"/>
        </w:rPr>
        <w:t xml:space="preserve">Monsieur A. est accompagné par sa mère. Il reste immobile sur sa chaise, regard fixe dans le vide. Quand on lui parle, il tourne parfois la tête lentement mais ne répond pas verbalement. Sa posture est rigide. La mère dit qu'il a soudainement arrêté de parler depuis 4 jours, après un épisode de grande agitation.</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C)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catatonie (immobilité motrice, rigidité, mutisme).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mutisme (absence totale de production verbale).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Contact : regard vide, non-réponse aux sollicitations.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Insight : difficile à évaluer dans ce tableau.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la catatonie peut survenir dans différents troubles (schizophrénie, troubles de l'humeur, causes organiques) — évaluation médicale urgente requise.</w:t>
      </w:r>
    </w:p>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Auto-observation de ton propre état mental</w:t>
      </w:r>
    </w:p>
    <w:p>
      <w:pPr>
        <w:spacing w:after="100"/>
      </w:pPr>
      <w:r>
        <w:rPr>
          <w:rFonts w:ascii="Times New Roman" w:cs="Times New Roman" w:eastAsia="Times New Roman" w:hAnsi="Times New Roman"/>
          <w:b w:val="false"/>
          <w:bCs w:val="false"/>
          <w:i w:val="false"/>
          <w:iCs w:val="false"/>
          <w:color w:val="1F2937"/>
          <w:sz w:val="22"/>
          <w:szCs w:val="22"/>
        </w:rPr>
        <w:t xml:space="preserve">Objectif : comprendre par l'expérience personnelle ce que les domaines sémiologiques désignent.</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Il s'agit ici non d'un exercice clinique sur toi-même, mais d'un exercice phénoménologique : observer la richesse et la variabilité de l'expérience subjective — ce que les signes psychiatriques cherchent à capter quand ils s'éloignent de la normale.</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Prends 5 minutes dans un endroit calme. Pose les yeux sur un objet neutre.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Puis réponds mentalement (ou par écrit) à ces questions, en utilisant les termes sémiologiques :</w:t>
      </w:r>
    </w:p>
    <w:p>
      <w:pPr>
        <w:spacing w:after="100"/>
      </w:pPr>
      <w:r>
        <w:t xml:space="preserve"/>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humeur en ce moment : comment la décrirais-je avec les termes vus ? (euthymie, légère dysthymie, hyperactivité émotionnelle…)</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langage intérieur : est-il rapide, lent, sautant d'une idée à l'autre, ou linéaire et ordonné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Ma perception : est-ce que je suis pleinement ancré dans le présent ? Y a-t-il une sensation de déréalisation légère (fatigue, stress)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attention : je peux me concentrer sur une seule chose 5 minutes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affect : ce que j'observe sur ma propre expressivité — est-il congruent avec mon humeur déclarée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Réflexion :</w:t>
      </w:r>
    </w:p>
    <w:p>
      <w:pPr>
        <w:spacing w:after="100"/>
      </w:pPr>
      <w:r>
        <w:rPr>
          <w:rFonts w:ascii="Times New Roman" w:cs="Times New Roman" w:eastAsia="Times New Roman" w:hAnsi="Times New Roman"/>
          <w:b w:val="false"/>
          <w:bCs w:val="false"/>
          <w:i w:val="false"/>
          <w:iCs w:val="false"/>
          <w:color w:val="1F2937"/>
          <w:sz w:val="22"/>
          <w:szCs w:val="22"/>
        </w:rPr>
        <w:t xml:space="preserve">Que t'apprend cet exercice sur la nuance entre « état ordinaire » et « signe pathologique » ? Qu'est-ce qui ferait basculer ce que tu as observé du côté du signe clinique ?</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Durée estimée : 15 minutes.</w:t>
      </w:r>
    </w:p>
    <w:p>
      <w:r>
        <w:br w:type="page"/>
      </w:r>
    </w:p>
    <w:p>
      <w:pPr>
        <w:pStyle w:val="Heading2"/>
        <w:spacing w:after="120" w:before="300"/>
      </w:pPr>
      <w:r>
        <w:rPr>
          <w:rFonts w:ascii="Times New Roman" w:cs="Times New Roman" w:eastAsia="Times New Roman" w:hAnsi="Times New Roman"/>
          <w:b/>
          <w:bCs/>
          <w:color w:val="1B3A6B"/>
          <w:sz w:val="30"/>
          <w:szCs w:val="30"/>
        </w:rPr>
        <w:t xml:space="preserve">🎯 Challenge — Écrire un examen de l'état mental</w:t>
      </w:r>
    </w:p>
    <w:p>
      <w:pPr>
        <w:spacing w:after="100"/>
      </w:pPr>
      <w:r>
        <w:rPr>
          <w:rFonts w:ascii="Times New Roman" w:cs="Times New Roman" w:eastAsia="Times New Roman" w:hAnsi="Times New Roman"/>
          <w:b w:val="false"/>
          <w:bCs w:val="false"/>
          <w:i w:val="false"/>
          <w:iCs w:val="false"/>
          <w:color w:val="1F2937"/>
          <w:sz w:val="22"/>
          <w:szCs w:val="22"/>
        </w:rPr>
        <w:t xml:space="preserve">Exercice de synthèse mobilisant l'ensemble de la leçon.</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Imagine une personne de ton entourage (ou un personnage de fiction bien connu — Hamlet, Anakin Skywalker, Walter White…). Rédige un examen de l'état mental fictif de cette personne à un moment précis de son histoire, en utilisant les 9 domaines sémiologiques.</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Format attendu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Un court texte de présentation (contexte / moment choisi).</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 tableau des 9 domaines rempli avec des observations précises.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Une ou deux phrases de synthèse : quels signes ressortent ? Quel registre clinique cela évoque-t-il sans poser de diagnostic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Critère de réussite :</w:t>
      </w:r>
    </w:p>
    <w:p>
      <w:pPr>
        <w:spacing w:after="100"/>
      </w:pPr>
      <w:r>
        <w:rPr>
          <w:rFonts w:ascii="Times New Roman" w:cs="Times New Roman" w:eastAsia="Times New Roman" w:hAnsi="Times New Roman"/>
          <w:b w:val="false"/>
          <w:bCs w:val="false"/>
          <w:i w:val="false"/>
          <w:iCs w:val="false"/>
          <w:color w:val="1F2937"/>
          <w:sz w:val="22"/>
          <w:szCs w:val="22"/>
        </w:rPr>
        <w:t xml:space="preserve">Tu utilises correctement les termes sémiologiques, tu distingues ce qui est observé (signe) de ce qui est rapporté (symptôme), et tu restes dans une posture descriptive — sans diagnostic.</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Variante pro : tu peux faire cet exercice à partir d'une situation professionnelle passée (anonymisée) — non pour diagnostiquer rétrospectivement, mais pour entraîner ton regard d'observateur clinique.</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en ESSMS)</w:t>
      </w:r>
    </w:p>
    <w:p>
      <w:pPr>
        <w:spacing w:after="100"/>
      </w:pPr>
      <w:r>
        <w:rPr>
          <w:rFonts w:ascii="Times New Roman" w:cs="Times New Roman" w:eastAsia="Times New Roman" w:hAnsi="Times New Roman"/>
          <w:b w:val="false"/>
          <w:bCs w:val="false"/>
          <w:i w:val="false"/>
          <w:iCs w:val="false"/>
          <w:color w:val="1F2937"/>
          <w:sz w:val="22"/>
          <w:szCs w:val="22"/>
        </w:rPr>
        <w:t xml:space="preserve">En tant que chef de service d'un foyer d'hébergement pour adultes en situation de handicap mental et psychique, la sémiologie psychiatrique te sert à structurer tes observations lors des réunions d'équipe et des transmissions — non pour diagnostiquer, mais pour :</w:t>
      </w:r>
    </w:p>
    <w:p>
      <w:pPr>
        <w:spacing w:after="100"/>
      </w:pPr>
      <w:r>
        <w:t xml:space="preserve"/>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Aider les professionnels (AES, ME, ES) à nommer précisément ce qu'ils observent, plutôt que de dire « il a un comportement bizarre » — → « il présente depuis 3 jours un retrait social, une bradypsychie et une négligence corporelle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Détecter des signaux d'alarme et orienter au bon moment vers le psychiatre référent, en transmettant un compte-rendu clinique structuré.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Alimenter les écrits professionnels (PPA/DUI) avec des observations précises qui facilitent la continuité de l'accompagnement.</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La sémiologie ne remplace pas la clinique médicale : elle t'aide à être un meilleur observateur et un meilleur communicant avec les équipes soignantes.</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b/>
          <w:bCs/>
          <w:i w:val="false"/>
          <w:iCs w:val="false"/>
          <w:color w:val="1F2937"/>
          <w:sz w:val="22"/>
          <w:szCs w:val="22"/>
        </w:rPr>
        <w:t xml:space="preserve">Sources mobilisées pour cette leçon :</w:t>
      </w:r>
    </w:p>
    <w:p>
      <w:pPr>
        <w:pStyle w:val="ListParagraph"/>
        <w:numPr>
          <w:ilvl w:val="0"/>
          <w:numId w:val="1"/>
        </w:numPr>
        <w:spacing w:after="80"/>
      </w:pPr>
      <w:hyperlink w:history="1" r:id="rIdfl48lyjd2n4mu9bl0kzv9">
        <w:r>
          <w:rPr>
            <w:rFonts w:ascii="Times New Roman" w:cs="Times New Roman" w:eastAsia="Times New Roman" w:hAnsi="Times New Roman"/>
            <w:color w:val="1155CC"/>
            <w:sz w:val="22"/>
            <w:szCs w:val="22"/>
            <w:u w:val="single" w:color="1155CC"/>
          </w:rPr>
          <w:t xml:space="preserve">Sémiologie psychiatrique — Wikipédia FR (définitions, domaines, syndromes)</w:t>
        </w:r>
      </w:hyperlink>
    </w:p>
    <w:p>
      <w:pPr>
        <w:pStyle w:val="ListParagraph"/>
        <w:numPr>
          <w:ilvl w:val="0"/>
          <w:numId w:val="1"/>
        </w:numPr>
        <w:spacing w:after="80"/>
      </w:pPr>
      <w:hyperlink w:history="1" r:id="rId9wx2jobf3mhyfokm7szqj">
        <w:r>
          <w:rPr>
            <w:rFonts w:ascii="Times New Roman" w:cs="Times New Roman" w:eastAsia="Times New Roman" w:hAnsi="Times New Roman"/>
            <w:color w:val="1155CC"/>
            <w:sz w:val="22"/>
            <w:szCs w:val="22"/>
            <w:u w:val="single" w:color="1155CC"/>
          </w:rPr>
          <w:t xml:space="preserve">Mental Status Examination — StatPearls / NCBI (NIH) — référence clinique complète (EN)</w:t>
        </w:r>
      </w:hyperlink>
    </w:p>
    <w:p>
      <w:pPr>
        <w:pStyle w:val="ListParagraph"/>
        <w:numPr>
          <w:ilvl w:val="0"/>
          <w:numId w:val="1"/>
        </w:numPr>
        <w:spacing w:after="80"/>
      </w:pPr>
      <w:hyperlink w:history="1" r:id="rIdqffzjwfnohr3uo3pvgjtg">
        <w:r>
          <w:rPr>
            <w:rFonts w:ascii="Times New Roman" w:cs="Times New Roman" w:eastAsia="Times New Roman" w:hAnsi="Times New Roman"/>
            <w:color w:val="1155CC"/>
            <w:sz w:val="22"/>
            <w:szCs w:val="22"/>
            <w:u w:val="single" w:color="1155CC"/>
          </w:rPr>
          <w:t xml:space="preserve">Mental Status Examination — Wikipédia EN (mnémotechnique ASEPTIC, domaines)</w:t>
        </w:r>
      </w:hyperlink>
    </w:p>
    <w:p>
      <w:pPr>
        <w:pStyle w:val="ListParagraph"/>
        <w:numPr>
          <w:ilvl w:val="0"/>
          <w:numId w:val="1"/>
        </w:numPr>
        <w:spacing w:after="80"/>
      </w:pPr>
      <w:hyperlink w:history="1" r:id="rIdwt0bsz_gkz-3o7q7ch1vl">
        <w:r>
          <w:rPr>
            <w:rFonts w:ascii="Times New Roman" w:cs="Times New Roman" w:eastAsia="Times New Roman" w:hAnsi="Times New Roman"/>
            <w:color w:val="1155CC"/>
            <w:sz w:val="22"/>
            <w:szCs w:val="22"/>
            <w:u w:val="single" w:color="1155CC"/>
          </w:rPr>
          <w:t xml:space="preserve">PsychScene Hub — Ten-Point Guide to the MSE (guide pratique illustré, EN)</w:t>
        </w:r>
      </w:hyperlink>
    </w:p>
    <w:p>
      <w:pPr>
        <w:pStyle w:val="ListParagraph"/>
        <w:numPr>
          <w:ilvl w:val="0"/>
          <w:numId w:val="1"/>
        </w:numPr>
        <w:spacing w:after="80"/>
      </w:pPr>
      <w:hyperlink w:history="1" r:id="rIdqlx0c4cfhzyxbbqgslgjq">
        <w:r>
          <w:rPr>
            <w:rFonts w:ascii="Times New Roman" w:cs="Times New Roman" w:eastAsia="Times New Roman" w:hAnsi="Times New Roman"/>
            <w:color w:val="1155CC"/>
            <w:sz w:val="22"/>
            <w:szCs w:val="22"/>
            <w:u w:val="single" w:color="1155CC"/>
          </w:rPr>
          <w:t xml:space="preserve">The Mental Status Examination — Clinical Methods, NCBI (contexte historique et clinique, EN)</w:t>
        </w:r>
      </w:hyperlink>
    </w:p>
    <w:p>
      <w:pPr>
        <w:pStyle w:val="ListParagraph"/>
        <w:numPr>
          <w:ilvl w:val="0"/>
          <w:numId w:val="1"/>
        </w:numPr>
        <w:spacing w:after="80"/>
      </w:pPr>
      <w:hyperlink w:history="1" r:id="rIdvnp3ri6gd_yoj59nmokgn">
        <w:r>
          <w:rPr>
            <w:rFonts w:ascii="Times New Roman" w:cs="Times New Roman" w:eastAsia="Times New Roman" w:hAnsi="Times New Roman"/>
            <w:color w:val="1155CC"/>
            <w:sz w:val="22"/>
            <w:szCs w:val="22"/>
            <w:u w:val="single" w:color="1155CC"/>
          </w:rPr>
          <w:t xml:space="preserve">Sémiologie psychiatrique — Techno-Science.net (synthèse FR)</w:t>
        </w:r>
      </w:hyperlink>
    </w:p>
    <w:p>
      <w:pPr>
        <w:pStyle w:val="ListParagraph"/>
        <w:numPr>
          <w:ilvl w:val="0"/>
          <w:numId w:val="1"/>
        </w:numPr>
        <w:spacing w:after="80"/>
      </w:pPr>
      <w:hyperlink w:history="1" r:id="rIdxcsf5vtiougefn2lanxtc">
        <w:r>
          <w:rPr>
            <w:rFonts w:ascii="Times New Roman" w:cs="Times New Roman" w:eastAsia="Times New Roman" w:hAnsi="Times New Roman"/>
            <w:color w:val="1155CC"/>
            <w:sz w:val="22"/>
            <w:szCs w:val="22"/>
            <w:u w:val="single" w:color="1155CC"/>
          </w:rPr>
          <w:t xml:space="preserve">AESP — Sémiologie psychiatrique de base pour l'étudiant (PDF FR, universitaire)</w:t>
        </w:r>
      </w:hyperlink>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 Sources inaccessibles lors de cette session (404) :</w:t>
      </w:r>
    </w:p>
    <w:p>
      <w:pPr>
        <w:spacing w:after="100"/>
      </w:pPr>
      <w:r>
        <w:rPr>
          <w:rFonts w:ascii="Times New Roman" w:cs="Times New Roman" w:eastAsia="Times New Roman" w:hAnsi="Times New Roman"/>
          <w:b w:val="false"/>
          <w:bCs w:val="false"/>
          <w:i/>
          <w:iCs/>
          <w:color w:val="9CA3AF"/>
          <w:sz w:val="22"/>
          <w:szCs w:val="22"/>
        </w:rPr>
        <w:t xml:space="preserve">Psycom.org — inaccessible (erreur 404) · Merck Manual Professional — inaccessible (erreur 404)</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 — n°04</w:t>
      </w:r>
    </w:p>
    <w:p>
      <w:pPr>
        <w:spacing w:after="100"/>
      </w:pPr>
      <w:r>
        <w:rPr>
          <w:rFonts w:ascii="Times New Roman" w:cs="Times New Roman" w:eastAsia="Times New Roman" w:hAnsi="Times New Roman"/>
          <w:b w:val="false"/>
          <w:bCs w:val="false"/>
          <w:i w:val="false"/>
          <w:iCs w:val="false"/>
          <w:color w:val="1F2937"/>
          <w:sz w:val="22"/>
          <w:szCs w:val="22"/>
        </w:rPr>
        <w:t xml:space="preserve">Thème : L'entretien clinique et l'examen de l'état mental</w:t>
      </w:r>
    </w:p>
    <w:p>
      <w:pPr>
        <w:spacing w:after="100"/>
      </w:pPr>
      <w:r>
        <w:rPr>
          <w:rFonts w:ascii="Times New Roman" w:cs="Times New Roman" w:eastAsia="Times New Roman" w:hAnsi="Times New Roman"/>
          <w:b w:val="false"/>
          <w:bCs w:val="false"/>
          <w:i w:val="false"/>
          <w:iCs w:val="false"/>
          <w:color w:val="1F2937"/>
          <w:sz w:val="22"/>
          <w:szCs w:val="22"/>
        </w:rPr>
        <w:t xml:space="preserve">Tu verras comment conduire (ou comprendre) un entretien clinique psychiatrique : posture, écoute active, observation, construction de l'alliance thérapeutique — et comment l'examen de l'état mental s'y articule en pratique.</w:t>
      </w:r>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La sémiologie de cette leçon sera ton outil de travail tout au long de ce parcours — chaque trouble étudié (leçons 5 à 16) te demandera de mobiliser ces repères.</w:t>
      </w:r>
    </w:p>
    <w:p>
      <w:pPr>
        <w:spacing w:after="100"/>
      </w:pPr>
      <w:r>
        <w:t xml:space="preserve"/>
      </w:r>
    </w:p>
    <w:p>
      <w:pPr>
        <w:spacing w:before="400"/>
        <w:jc w:val="center"/>
      </w:pPr>
      <w:r>
        <w:rPr>
          <w:rFonts w:ascii="Times New Roman" w:cs="Times New Roman" w:eastAsia="Times New Roman" w:hAnsi="Times New Roman"/>
          <w:i/>
          <w:iCs/>
          <w:color w:val="9CA3AF"/>
          <w:sz w:val="18"/>
          <w:szCs w:val="18"/>
        </w:rPr>
        <w:t xml:space="preserve">Parcours Psychopathologie clinique · Leçon 3/16 · 29 juin 2026 · Usage personnel — non diagnostique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48lyjd2n4mu9bl0kzv9" Type="http://schemas.openxmlformats.org/officeDocument/2006/relationships/hyperlink" Target="https://fr.wikipedia.org/wiki/S%C3%A9miologie_psychiatrique" TargetMode="External"/><Relationship Id="rId9wx2jobf3mhyfokm7szqj" Type="http://schemas.openxmlformats.org/officeDocument/2006/relationships/hyperlink" Target="https://www.ncbi.nlm.nih.gov/books/NBK546682/" TargetMode="External"/><Relationship Id="rIdqffzjwfnohr3uo3pvgjtg" Type="http://schemas.openxmlformats.org/officeDocument/2006/relationships/hyperlink" Target="https://en.wikipedia.org/wiki/Mental_status_examination" TargetMode="External"/><Relationship Id="rIdwt0bsz_gkz-3o7q7ch1vl" Type="http://schemas.openxmlformats.org/officeDocument/2006/relationships/hyperlink" Target="https://psychscenehub.com/psychinsights/ten-point-guide-to-mental-state-examination-mse-in-psychiatry/" TargetMode="External"/><Relationship Id="rIdqlx0c4cfhzyxbbqgslgjq" Type="http://schemas.openxmlformats.org/officeDocument/2006/relationships/hyperlink" Target="https://www.ncbi.nlm.nih.gov/books/NBK320/" TargetMode="External"/><Relationship Id="rIdvnp3ri6gd_yoj59nmokgn" Type="http://schemas.openxmlformats.org/officeDocument/2006/relationships/hyperlink" Target="https://www.techno-science.net/glossaire-definition/Semiologie-psychiatrique.html" TargetMode="External"/><Relationship Id="rIdxcsf5vtiougefn2lanxtc" Type="http://schemas.openxmlformats.org/officeDocument/2006/relationships/hyperlink" Target="https://www.asso-aesp.fr/wp-content/uploads/2014/04/semiologie-AESP1.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clinique n°03 — Sémiologie psychiatrique</dc:title>
  <dc:creator>Claude Code — Job psychopathologie-lecon</dc:creator>
  <dc:description>Parcours d'apprentissage progressif — Psychopathologie clinique</dc:description>
  <cp:lastModifiedBy>Un-named</cp:lastModifiedBy>
  <cp:revision>1</cp:revision>
  <dcterms:created xsi:type="dcterms:W3CDTF">2026-06-29T06:07:12.033Z</dcterms:created>
  <dcterms:modified xsi:type="dcterms:W3CDTF">2026-06-29T06:07:12.161Z</dcterms:modified>
</cp:coreProperties>
</file>

<file path=docProps/custom.xml><?xml version="1.0" encoding="utf-8"?>
<Properties xmlns="http://schemas.openxmlformats.org/officeDocument/2006/custom-properties" xmlns:vt="http://schemas.openxmlformats.org/officeDocument/2006/docPropsVTypes"/>
</file>