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Placement financier n°09</w:t>
      </w:r>
    </w:p>
    <w:p>
      <w:pPr>
        <w:pStyle w:val="Heading1"/>
        <w:spacing w:after="200" w:before="200"/>
        <w:jc w:val="center"/>
      </w:pPr>
      <w:r>
        <w:rPr>
          <w:rFonts w:ascii="Times New Roman" w:cs="Times New Roman" w:eastAsia="Times New Roman" w:hAnsi="Times New Roman"/>
          <w:b/>
          <w:bCs/>
          <w:color w:val="1B3A6B"/>
          <w:sz w:val="52"/>
          <w:szCs w:val="52"/>
        </w:rPr>
        <w:t xml:space="preserve">Les frais et leur impact sur le long terme</w:t>
      </w:r>
    </w:p>
    <w:p>
      <w:pPr>
        <w:spacing w:after="80" w:before="80"/>
        <w:jc w:val="center"/>
      </w:pPr>
      <w:r>
        <w:rPr>
          <w:rFonts w:ascii="Times New Roman" w:cs="Times New Roman" w:eastAsia="Times New Roman" w:hAnsi="Times New Roman"/>
          <w:i/>
          <w:iCs/>
          <w:color w:val="1F2937"/>
          <w:sz w:val="22"/>
          <w:szCs w:val="22"/>
        </w:rPr>
        <w:t xml:space="preserve">8 août 2026  •  Module Fondamental — leçon 9 / 16</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Identifier et nommer chaque type de frais rencontré dans un placement (entrée, gestion, sortie, performance, courtage, garde, rétrocessions).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Calculer l'impact cumulé des frais sur un capital, notamment via l'effet des intérêts composés à rebours.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Comparer deux placements à rendement brut identique mais à structure de frais différente, et choisir à l'aide d'un critère objectif.</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iCs/>
          <w:color w:val="1F2937"/>
          <w:sz w:val="22"/>
          <w:szCs w:val="22"/>
        </w:rPr>
        <w:t xml:space="preserve">Lien avec la leçon précédente (n°08 — Immobilier et SCPI) : la leçon 08 t'a montré que les SCPI affichent des frais d'entrée élevés (8–12 %) qui constituent l'une de leurs contraintes majeures. Cette leçon généralise la question des frais à l'ensemble des enveloppes et classes d'actifs vues depuis le début du parcours.</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Rappel</w:t>
      </w:r>
    </w:p>
    <w:p>
      <w:pPr>
        <w:shd w:fill="F3F4F6" w:val="clear"/>
        <w:spacing w:after="120" w:before="120"/>
        <w:ind w:left="431" w:right="431"/>
      </w:pPr>
      <w:r>
        <w:rPr>
          <w:rFonts w:ascii="Times New Roman" w:cs="Times New Roman" w:eastAsia="Times New Roman" w:hAnsi="Times New Roman"/>
          <w:color w:val="1F2937"/>
          <w:sz w:val="22"/>
          <w:szCs w:val="22"/>
        </w:rPr>
        <w:br/>
        <w:t xml:space="preserve">Cette leçon relève de l'éducation financière générale. Elle ne constitue en aucun cas un conseil en investissement personnalisé.</w:t>
      </w:r>
      <w:r>
        <w:rPr>
          <w:rFonts w:ascii="Times New Roman" w:cs="Times New Roman" w:eastAsia="Times New Roman" w:hAnsi="Times New Roman"/>
          <w:color w:val="1F2937"/>
          <w:sz w:val="22"/>
          <w:szCs w:val="22"/>
        </w:rPr>
        <w:br/>
        <w:t xml:space="preserve">Tout placement comporte un risque de perte en capital. Pour toute décision, consulte un conseiller en gestion de patrimoine (CGP) ou un CIF agréé.</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Théorie (20 %) — Anatomie des frais</w:t>
      </w:r>
    </w:p>
    <w:p>
      <w:pPr>
        <w:pStyle w:val="Heading3"/>
        <w:spacing w:after="80" w:before="200"/>
      </w:pPr>
      <w:r>
        <w:rPr>
          <w:rFonts w:ascii="Times New Roman" w:cs="Times New Roman" w:eastAsia="Times New Roman" w:hAnsi="Times New Roman"/>
          <w:b/>
          <w:bCs/>
          <w:color w:val="1F2937"/>
          <w:sz w:val="26"/>
          <w:szCs w:val="26"/>
        </w:rPr>
        <w:t xml:space="preserve">1. La cartographie des frais</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frais d'un placement se répartissent en quatre grandes familles, selon le moment où ils sont prélevés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r>
              <w:rPr>
                <w:rFonts w:ascii="Times New Roman" w:cs="Times New Roman" w:eastAsia="Times New Roman" w:hAnsi="Times New Roman"/>
                <w:b/>
                <w:bCs/>
                <w:color w:val="FFFFFF"/>
                <w:sz w:val="22"/>
                <w:szCs w:val="22"/>
              </w:rPr>
              <w:t xml:space="preserve">Famille</w:t>
            </w:r>
          </w:p>
        </w:tc>
        <w:tc>
          <w:tcPr>
            <w:shd w:fill="1B3A6B" w:val="clear"/>
          </w:tcPr>
          <w:p>
            <w:r>
              <w:rPr>
                <w:rFonts w:ascii="Times New Roman" w:cs="Times New Roman" w:eastAsia="Times New Roman" w:hAnsi="Times New Roman"/>
                <w:b/>
                <w:bCs/>
                <w:color w:val="FFFFFF"/>
                <w:sz w:val="22"/>
                <w:szCs w:val="22"/>
              </w:rPr>
              <w:t xml:space="preserve">Moment de prélèvement</w:t>
            </w:r>
          </w:p>
        </w:tc>
        <w:tc>
          <w:tcPr>
            <w:shd w:fill="1B3A6B" w:val="clear"/>
          </w:tcPr>
          <w:p>
            <w:r>
              <w:rPr>
                <w:rFonts w:ascii="Times New Roman" w:cs="Times New Roman" w:eastAsia="Times New Roman" w:hAnsi="Times New Roman"/>
                <w:b/>
                <w:bCs/>
                <w:color w:val="FFFFFF"/>
                <w:sz w:val="22"/>
                <w:szCs w:val="22"/>
              </w:rPr>
              <w:t xml:space="preserve">Qui les perçoit ?</w:t>
            </w:r>
          </w:p>
        </w:tc>
        <w:tc>
          <w:tcPr>
            <w:shd w:fill="1B3A6B" w:val="clear"/>
          </w:tcPr>
          <w:p>
            <w:r>
              <w:rPr>
                <w:rFonts w:ascii="Times New Roman" w:cs="Times New Roman" w:eastAsia="Times New Roman" w:hAnsi="Times New Roman"/>
                <w:b/>
                <w:bCs/>
                <w:color w:val="FFFFFF"/>
                <w:sz w:val="22"/>
                <w:szCs w:val="22"/>
              </w:rPr>
              <w:t xml:space="preserve">Exemples d'ordres de grandeur</w:t>
            </w:r>
          </w:p>
        </w:tc>
      </w:tr>
      <w:tr>
        <w:tc>
          <w:tcPr>
            <w:shd w:fill="FFFFFF" w:val="clear"/>
          </w:tcPr>
          <w:p>
            <w:r>
              <w:rPr>
                <w:rFonts w:ascii="Times New Roman" w:cs="Times New Roman" w:eastAsia="Times New Roman" w:hAnsi="Times New Roman"/>
                <w:color w:val="1F2937"/>
                <w:sz w:val="22"/>
                <w:szCs w:val="22"/>
              </w:rPr>
              <w:t xml:space="preserve">Frais d'entrée (souscription)</w:t>
            </w:r>
          </w:p>
        </w:tc>
        <w:tc>
          <w:tcPr>
            <w:shd w:fill="FFFFFF" w:val="clear"/>
          </w:tcPr>
          <w:p>
            <w:r>
              <w:rPr>
                <w:rFonts w:ascii="Times New Roman" w:cs="Times New Roman" w:eastAsia="Times New Roman" w:hAnsi="Times New Roman"/>
                <w:color w:val="1F2937"/>
                <w:sz w:val="22"/>
                <w:szCs w:val="22"/>
              </w:rPr>
              <w:t xml:space="preserve">Au moment du versement initial ou récurrent</w:t>
            </w:r>
          </w:p>
        </w:tc>
        <w:tc>
          <w:tcPr>
            <w:shd w:fill="FFFFFF" w:val="clear"/>
          </w:tcPr>
          <w:p>
            <w:r>
              <w:rPr>
                <w:rFonts w:ascii="Times New Roman" w:cs="Times New Roman" w:eastAsia="Times New Roman" w:hAnsi="Times New Roman"/>
                <w:color w:val="1F2937"/>
                <w:sz w:val="22"/>
                <w:szCs w:val="22"/>
              </w:rPr>
              <w:t xml:space="preserve">Distributeur, CGP, banque</w:t>
            </w:r>
          </w:p>
        </w:tc>
        <w:tc>
          <w:tcPr>
            <w:shd w:fill="FFFFFF" w:val="clear"/>
          </w:tcPr>
          <w:p>
            <w:r>
              <w:rPr>
                <w:rFonts w:ascii="Times New Roman" w:cs="Times New Roman" w:eastAsia="Times New Roman" w:hAnsi="Times New Roman"/>
                <w:color w:val="1F2937"/>
                <w:sz w:val="22"/>
                <w:szCs w:val="22"/>
              </w:rPr>
              <w:t xml:space="preserve">0 % à 5 % selon le produit (négociables sur les OPCVM)</w:t>
            </w:r>
          </w:p>
        </w:tc>
      </w:tr>
      <w:tr>
        <w:tc>
          <w:tcPr>
            <w:shd w:fill="EEF2F7" w:val="clear"/>
          </w:tcPr>
          <w:p>
            <w:r>
              <w:rPr>
                <w:rFonts w:ascii="Times New Roman" w:cs="Times New Roman" w:eastAsia="Times New Roman" w:hAnsi="Times New Roman"/>
                <w:color w:val="1F2937"/>
                <w:sz w:val="22"/>
                <w:szCs w:val="22"/>
              </w:rPr>
              <w:t xml:space="preserve">Frais de gestion annuels</w:t>
            </w:r>
          </w:p>
        </w:tc>
        <w:tc>
          <w:tcPr>
            <w:shd w:fill="EEF2F7" w:val="clear"/>
          </w:tcPr>
          <w:p>
            <w:r>
              <w:rPr>
                <w:rFonts w:ascii="Times New Roman" w:cs="Times New Roman" w:eastAsia="Times New Roman" w:hAnsi="Times New Roman"/>
                <w:color w:val="1F2937"/>
                <w:sz w:val="22"/>
                <w:szCs w:val="22"/>
              </w:rPr>
              <w:t xml:space="preserve">Chaque année (déduits de la valeur liquidative)</w:t>
            </w:r>
          </w:p>
        </w:tc>
        <w:tc>
          <w:tcPr>
            <w:shd w:fill="EEF2F7" w:val="clear"/>
          </w:tcPr>
          <w:p>
            <w:r>
              <w:rPr>
                <w:rFonts w:ascii="Times New Roman" w:cs="Times New Roman" w:eastAsia="Times New Roman" w:hAnsi="Times New Roman"/>
                <w:color w:val="1F2937"/>
                <w:sz w:val="22"/>
                <w:szCs w:val="22"/>
              </w:rPr>
              <w:t xml:space="preserve">Société de gestion</w:t>
            </w:r>
          </w:p>
        </w:tc>
        <w:tc>
          <w:tcPr>
            <w:shd w:fill="EEF2F7" w:val="clear"/>
          </w:tcPr>
          <w:p>
            <w:r>
              <w:rPr>
                <w:rFonts w:ascii="Times New Roman" w:cs="Times New Roman" w:eastAsia="Times New Roman" w:hAnsi="Times New Roman"/>
                <w:color w:val="1F2937"/>
                <w:sz w:val="22"/>
                <w:szCs w:val="22"/>
              </w:rPr>
              <w:t xml:space="preserve">0,15–0,35 % (ETF) · 1,3–2,5 % (fonds actifs actions)</w:t>
            </w:r>
          </w:p>
        </w:tc>
      </w:tr>
      <w:tr>
        <w:tc>
          <w:tcPr>
            <w:shd w:fill="FFFFFF" w:val="clear"/>
          </w:tcPr>
          <w:p>
            <w:r>
              <w:rPr>
                <w:rFonts w:ascii="Times New Roman" w:cs="Times New Roman" w:eastAsia="Times New Roman" w:hAnsi="Times New Roman"/>
                <w:color w:val="1F2937"/>
                <w:sz w:val="22"/>
                <w:szCs w:val="22"/>
              </w:rPr>
              <w:t xml:space="preserve">Frais de sortie (rachat)</w:t>
            </w:r>
          </w:p>
        </w:tc>
        <w:tc>
          <w:tcPr>
            <w:shd w:fill="FFFFFF" w:val="clear"/>
          </w:tcPr>
          <w:p>
            <w:r>
              <w:rPr>
                <w:rFonts w:ascii="Times New Roman" w:cs="Times New Roman" w:eastAsia="Times New Roman" w:hAnsi="Times New Roman"/>
                <w:color w:val="1F2937"/>
                <w:sz w:val="22"/>
                <w:szCs w:val="22"/>
              </w:rPr>
              <w:t xml:space="preserve">Au moment du retrait</w:t>
            </w:r>
          </w:p>
        </w:tc>
        <w:tc>
          <w:tcPr>
            <w:shd w:fill="FFFFFF" w:val="clear"/>
          </w:tcPr>
          <w:p>
            <w:r>
              <w:rPr>
                <w:rFonts w:ascii="Times New Roman" w:cs="Times New Roman" w:eastAsia="Times New Roman" w:hAnsi="Times New Roman"/>
                <w:color w:val="1F2937"/>
                <w:sz w:val="22"/>
                <w:szCs w:val="22"/>
              </w:rPr>
              <w:t xml:space="preserve">Distributeur, société de gestion</w:t>
            </w:r>
          </w:p>
        </w:tc>
        <w:tc>
          <w:tcPr>
            <w:shd w:fill="FFFFFF" w:val="clear"/>
          </w:tcPr>
          <w:p>
            <w:r>
              <w:rPr>
                <w:rFonts w:ascii="Times New Roman" w:cs="Times New Roman" w:eastAsia="Times New Roman" w:hAnsi="Times New Roman"/>
                <w:color w:val="1F2937"/>
                <w:sz w:val="22"/>
                <w:szCs w:val="22"/>
              </w:rPr>
              <w:t xml:space="preserve">Rares, en voie de disparition ; peuvent exister sur certains PEL/PER bancarisés</w:t>
            </w:r>
          </w:p>
        </w:tc>
      </w:tr>
      <w:tr>
        <w:tc>
          <w:tcPr>
            <w:shd w:fill="EEF2F7" w:val="clear"/>
          </w:tcPr>
          <w:p>
            <w:r>
              <w:rPr>
                <w:rFonts w:ascii="Times New Roman" w:cs="Times New Roman" w:eastAsia="Times New Roman" w:hAnsi="Times New Roman"/>
                <w:color w:val="1F2937"/>
                <w:sz w:val="22"/>
                <w:szCs w:val="22"/>
              </w:rPr>
              <w:t xml:space="preserve">Frais de performance (surperformance)</w:t>
            </w:r>
          </w:p>
        </w:tc>
        <w:tc>
          <w:tcPr>
            <w:shd w:fill="EEF2F7" w:val="clear"/>
          </w:tcPr>
          <w:p>
            <w:r>
              <w:rPr>
                <w:rFonts w:ascii="Times New Roman" w:cs="Times New Roman" w:eastAsia="Times New Roman" w:hAnsi="Times New Roman"/>
                <w:color w:val="1F2937"/>
                <w:sz w:val="22"/>
                <w:szCs w:val="22"/>
              </w:rPr>
              <w:t xml:space="preserve">Si le fonds dépasse son indice de référence</w:t>
            </w:r>
          </w:p>
        </w:tc>
        <w:tc>
          <w:tcPr>
            <w:shd w:fill="EEF2F7" w:val="clear"/>
          </w:tcPr>
          <w:p>
            <w:r>
              <w:rPr>
                <w:rFonts w:ascii="Times New Roman" w:cs="Times New Roman" w:eastAsia="Times New Roman" w:hAnsi="Times New Roman"/>
                <w:color w:val="1F2937"/>
                <w:sz w:val="22"/>
                <w:szCs w:val="22"/>
              </w:rPr>
              <w:t xml:space="preserve">Société de gestion</w:t>
            </w:r>
          </w:p>
        </w:tc>
        <w:tc>
          <w:tcPr>
            <w:shd w:fill="EEF2F7" w:val="clear"/>
          </w:tcPr>
          <w:p>
            <w:r>
              <w:rPr>
                <w:rFonts w:ascii="Times New Roman" w:cs="Times New Roman" w:eastAsia="Times New Roman" w:hAnsi="Times New Roman"/>
                <w:color w:val="1F2937"/>
                <w:sz w:val="22"/>
                <w:szCs w:val="22"/>
              </w:rPr>
              <w:t xml:space="preserve">10 % à 25 % de la surperformance générée</w:t>
            </w:r>
          </w:p>
        </w:tc>
      </w:tr>
      <w:tr>
        <w:tc>
          <w:tcPr>
            <w:shd w:fill="FFFFFF" w:val="clear"/>
          </w:tcPr>
          <w:p>
            <w:r>
              <w:rPr>
                <w:rFonts w:ascii="Times New Roman" w:cs="Times New Roman" w:eastAsia="Times New Roman" w:hAnsi="Times New Roman"/>
                <w:color w:val="1F2937"/>
                <w:sz w:val="22"/>
                <w:szCs w:val="22"/>
              </w:rPr>
              <w:t xml:space="preserve">Frais de courtage</w:t>
            </w:r>
          </w:p>
        </w:tc>
        <w:tc>
          <w:tcPr>
            <w:shd w:fill="FFFFFF" w:val="clear"/>
          </w:tcPr>
          <w:p>
            <w:r>
              <w:rPr>
                <w:rFonts w:ascii="Times New Roman" w:cs="Times New Roman" w:eastAsia="Times New Roman" w:hAnsi="Times New Roman"/>
                <w:color w:val="1F2937"/>
                <w:sz w:val="22"/>
                <w:szCs w:val="22"/>
              </w:rPr>
              <w:t xml:space="preserve">À chaque ordre d'achat/vente de titres</w:t>
            </w:r>
          </w:p>
        </w:tc>
        <w:tc>
          <w:tcPr>
            <w:shd w:fill="FFFFFF" w:val="clear"/>
          </w:tcPr>
          <w:p>
            <w:r>
              <w:rPr>
                <w:rFonts w:ascii="Times New Roman" w:cs="Times New Roman" w:eastAsia="Times New Roman" w:hAnsi="Times New Roman"/>
                <w:color w:val="1F2937"/>
                <w:sz w:val="22"/>
                <w:szCs w:val="22"/>
              </w:rPr>
              <w:t xml:space="preserve">Courtier, banque en ligne</w:t>
            </w:r>
          </w:p>
        </w:tc>
        <w:tc>
          <w:tcPr>
            <w:shd w:fill="FFFFFF" w:val="clear"/>
          </w:tcPr>
          <w:p>
            <w:r>
              <w:rPr>
                <w:rFonts w:ascii="Times New Roman" w:cs="Times New Roman" w:eastAsia="Times New Roman" w:hAnsi="Times New Roman"/>
                <w:color w:val="1F2937"/>
                <w:sz w:val="22"/>
                <w:szCs w:val="22"/>
              </w:rPr>
              <w:t xml:space="preserve">0,10 % à 0,5 % par ordre selon le type de compte</w:t>
            </w:r>
          </w:p>
        </w:tc>
      </w:tr>
      <w:tr>
        <w:tc>
          <w:tcPr>
            <w:shd w:fill="EEF2F7" w:val="clear"/>
          </w:tcPr>
          <w:p>
            <w:r>
              <w:rPr>
                <w:rFonts w:ascii="Times New Roman" w:cs="Times New Roman" w:eastAsia="Times New Roman" w:hAnsi="Times New Roman"/>
                <w:color w:val="1F2937"/>
                <w:sz w:val="22"/>
                <w:szCs w:val="22"/>
              </w:rPr>
              <w:t xml:space="preserve">Droits de garde (custody fees)</w:t>
            </w:r>
          </w:p>
        </w:tc>
        <w:tc>
          <w:tcPr>
            <w:shd w:fill="EEF2F7" w:val="clear"/>
          </w:tcPr>
          <w:p>
            <w:r>
              <w:rPr>
                <w:rFonts w:ascii="Times New Roman" w:cs="Times New Roman" w:eastAsia="Times New Roman" w:hAnsi="Times New Roman"/>
                <w:color w:val="1F2937"/>
                <w:sz w:val="22"/>
                <w:szCs w:val="22"/>
              </w:rPr>
              <w:t xml:space="preserve">Annuellement, sur le compte-titres</w:t>
            </w:r>
          </w:p>
        </w:tc>
        <w:tc>
          <w:tcPr>
            <w:shd w:fill="EEF2F7" w:val="clear"/>
          </w:tcPr>
          <w:p>
            <w:r>
              <w:rPr>
                <w:rFonts w:ascii="Times New Roman" w:cs="Times New Roman" w:eastAsia="Times New Roman" w:hAnsi="Times New Roman"/>
                <w:color w:val="1F2937"/>
                <w:sz w:val="22"/>
                <w:szCs w:val="22"/>
              </w:rPr>
              <w:t xml:space="preserve">Établissement financier</w:t>
            </w:r>
          </w:p>
        </w:tc>
        <w:tc>
          <w:tcPr>
            <w:shd w:fill="EEF2F7" w:val="clear"/>
          </w:tcPr>
          <w:p>
            <w:r>
              <w:rPr>
                <w:rFonts w:ascii="Times New Roman" w:cs="Times New Roman" w:eastAsia="Times New Roman" w:hAnsi="Times New Roman"/>
                <w:color w:val="1F2937"/>
                <w:sz w:val="22"/>
                <w:szCs w:val="22"/>
              </w:rPr>
              <w:t xml:space="preserve">0,1 % à 0,5 % selon l'établissement ; souvent 0 en ligne</w:t>
            </w:r>
          </w:p>
        </w:tc>
      </w:tr>
      <w:tr>
        <w:tc>
          <w:tcPr>
            <w:shd w:fill="FFFFFF" w:val="clear"/>
          </w:tcPr>
          <w:p>
            <w:r>
              <w:rPr>
                <w:rFonts w:ascii="Times New Roman" w:cs="Times New Roman" w:eastAsia="Times New Roman" w:hAnsi="Times New Roman"/>
                <w:color w:val="1F2937"/>
                <w:sz w:val="22"/>
                <w:szCs w:val="22"/>
              </w:rPr>
              <w:t xml:space="preserve">Rétrocessions de commissions</w:t>
            </w:r>
          </w:p>
        </w:tc>
        <w:tc>
          <w:tcPr>
            <w:shd w:fill="FFFFFF" w:val="clear"/>
          </w:tcPr>
          <w:p>
            <w:r>
              <w:rPr>
                <w:rFonts w:ascii="Times New Roman" w:cs="Times New Roman" w:eastAsia="Times New Roman" w:hAnsi="Times New Roman"/>
                <w:color w:val="1F2937"/>
                <w:sz w:val="22"/>
                <w:szCs w:val="22"/>
              </w:rPr>
              <w:t xml:space="preserve">Prélevées des frais de gestion, reversées au distributeur</w:t>
            </w:r>
          </w:p>
        </w:tc>
        <w:tc>
          <w:tcPr>
            <w:shd w:fill="FFFFFF" w:val="clear"/>
          </w:tcPr>
          <w:p>
            <w:r>
              <w:rPr>
                <w:rFonts w:ascii="Times New Roman" w:cs="Times New Roman" w:eastAsia="Times New Roman" w:hAnsi="Times New Roman"/>
                <w:color w:val="1F2937"/>
                <w:sz w:val="22"/>
                <w:szCs w:val="22"/>
              </w:rPr>
              <w:t xml:space="preserve">Intermédiaire (banque, CGP rémunéré à la commission)</w:t>
            </w:r>
          </w:p>
        </w:tc>
        <w:tc>
          <w:tcPr>
            <w:shd w:fill="FFFFFF" w:val="clear"/>
          </w:tcPr>
          <w:p>
            <w:r>
              <w:rPr>
                <w:rFonts w:ascii="Times New Roman" w:cs="Times New Roman" w:eastAsia="Times New Roman" w:hAnsi="Times New Roman"/>
                <w:color w:val="1F2937"/>
                <w:sz w:val="22"/>
                <w:szCs w:val="22"/>
              </w:rPr>
              <w:t xml:space="preserve">Part variable des frais de gestion, non visible séparément</w:t>
            </w:r>
          </w:p>
        </w:tc>
      </w:tr>
    </w:tbl>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Note sur les frais cachés ou indirects : deux catégories méritent une attention particulière.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Les commissions de mouvement : prélevées à chaque achat ou vente de valeurs mobilières réalisé par le gestionnaire à l'intérieur du fonds. Elles n'apparaissent pas dans les frais courants mais réduisent la performance nette.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Les rétrocessions : une partie des frais de gestion d'un OPCVM est rétrocédée au distributeur (banque, plateforme) sous forme de commission. L'investisseur paye donc des frais qui rémunèrent non pas la gestion, mais la distribution. La réglementation européenne MiFID II a imposé plus de transparence sur ces flux, mais ils restent difficiles à quantifier pour l'épargnant.</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2. Le TER — Total Expense Ratio</w:t>
      </w:r>
    </w:p>
    <w:p>
      <w:pPr>
        <w:spacing w:after="60" w:before="60"/>
      </w:pPr>
      <w:r>
        <w:rPr>
          <w:rFonts w:ascii="Times New Roman" w:cs="Times New Roman" w:eastAsia="Times New Roman" w:hAnsi="Times New Roman"/>
          <w:b w:val="false"/>
          <w:bCs w:val="false"/>
          <w:i w:val="false"/>
          <w:iCs w:val="false"/>
          <w:color w:val="1F2937"/>
          <w:sz w:val="22"/>
          <w:szCs w:val="22"/>
        </w:rPr>
        <w:t xml:space="preserve">Le TER (ou « frais courants » en langue française) agrège, en un seul pourcentage annuel, tous les frais récurrents supportés par le fonds : frais de gestion, frais administratifs, commissions de mouvement et rétrocessions incluses.</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Selon les données publiées par l'AMF : entre 2010 et 2025, le TER moyen des fonds actions français est passé de 2,3 % à 1,3 %, soit une baisse de 43 %. Le TER des fonds diversifiés est passé de 2,1 % à 1,3 % sur la même période.</w:t>
      </w:r>
    </w:p>
    <w:p>
      <w:pPr>
        <w:spacing w:after="60" w:before="60"/>
      </w:pPr>
      <w:r>
        <w:rPr>
          <w:rFonts w:ascii="Times New Roman" w:cs="Times New Roman" w:eastAsia="Times New Roman" w:hAnsi="Times New Roman"/>
          <w:b w:val="false"/>
          <w:bCs w:val="false"/>
          <w:i w:val="false"/>
          <w:iCs w:val="false"/>
          <w:color w:val="1F2937"/>
          <w:sz w:val="22"/>
          <w:szCs w:val="22"/>
        </w:rPr>
        <w:t xml:space="preserve">(Source : AMF, communiqué « Les frais des placements financiers continuent de baisser », 2025–2026, synthèse WebSearch — non citation directe.)</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3. L'effet cumulé des frais sur le long terme</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frais agissent comme un contre-intérêt composé : ils réduisent la base de calcul des rendements futurs. Un frais annuel de 1,5 % peut sembler modeste sur un an, mais sur 7 à 8 ans (ton horizon), son effet est substantiel.</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Illustration (éducation financière, sans recommandation de produit)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val="clear"/>
          </w:tcPr>
          <w:p>
            <w:r>
              <w:rPr>
                <w:rFonts w:ascii="Times New Roman" w:cs="Times New Roman" w:eastAsia="Times New Roman" w:hAnsi="Times New Roman"/>
                <w:b/>
                <w:bCs/>
                <w:color w:val="FFFFFF"/>
                <w:sz w:val="22"/>
                <w:szCs w:val="22"/>
              </w:rPr>
              <w:t xml:space="preserve">Capital initial</w:t>
            </w:r>
          </w:p>
        </w:tc>
        <w:tc>
          <w:tcPr>
            <w:shd w:fill="1B3A6B" w:val="clear"/>
          </w:tcPr>
          <w:p>
            <w:r>
              <w:rPr>
                <w:rFonts w:ascii="Times New Roman" w:cs="Times New Roman" w:eastAsia="Times New Roman" w:hAnsi="Times New Roman"/>
                <w:b/>
                <w:bCs/>
                <w:color w:val="FFFFFF"/>
                <w:sz w:val="22"/>
                <w:szCs w:val="22"/>
              </w:rPr>
              <w:t xml:space="preserve">Rendement brut / an</w:t>
            </w:r>
          </w:p>
        </w:tc>
        <w:tc>
          <w:tcPr>
            <w:shd w:fill="1B3A6B" w:val="clear"/>
          </w:tcPr>
          <w:p>
            <w:r>
              <w:rPr>
                <w:rFonts w:ascii="Times New Roman" w:cs="Times New Roman" w:eastAsia="Times New Roman" w:hAnsi="Times New Roman"/>
                <w:b/>
                <w:bCs/>
                <w:color w:val="FFFFFF"/>
                <w:sz w:val="22"/>
                <w:szCs w:val="22"/>
              </w:rPr>
              <w:t xml:space="preserve">Frais annuels</w:t>
            </w:r>
          </w:p>
        </w:tc>
        <w:tc>
          <w:tcPr>
            <w:shd w:fill="1B3A6B" w:val="clear"/>
          </w:tcPr>
          <w:p>
            <w:r>
              <w:rPr>
                <w:rFonts w:ascii="Times New Roman" w:cs="Times New Roman" w:eastAsia="Times New Roman" w:hAnsi="Times New Roman"/>
                <w:b/>
                <w:bCs/>
                <w:color w:val="FFFFFF"/>
                <w:sz w:val="22"/>
                <w:szCs w:val="22"/>
              </w:rPr>
              <w:t xml:space="preserve">Horizon</w:t>
            </w:r>
          </w:p>
        </w:tc>
        <w:tc>
          <w:tcPr>
            <w:shd w:fill="1B3A6B" w:val="clear"/>
          </w:tcPr>
          <w:p>
            <w:r>
              <w:rPr>
                <w:rFonts w:ascii="Times New Roman" w:cs="Times New Roman" w:eastAsia="Times New Roman" w:hAnsi="Times New Roman"/>
                <w:b/>
                <w:bCs/>
                <w:color w:val="FFFFFF"/>
                <w:sz w:val="22"/>
                <w:szCs w:val="22"/>
              </w:rPr>
              <w:t xml:space="preserve">Capital final estimé</w:t>
            </w:r>
          </w:p>
        </w:tc>
      </w:tr>
      <w:tr>
        <w:tc>
          <w:tcPr>
            <w:shd w:fill="FFFFFF" w:val="clear"/>
          </w:tcPr>
          <w:p>
            <w:r>
              <w:rPr>
                <w:rFonts w:ascii="Times New Roman" w:cs="Times New Roman" w:eastAsia="Times New Roman" w:hAnsi="Times New Roman"/>
                <w:color w:val="1F2937"/>
                <w:sz w:val="22"/>
                <w:szCs w:val="22"/>
              </w:rPr>
              <w:t xml:space="preserve">10 000 €</w:t>
            </w:r>
          </w:p>
        </w:tc>
        <w:tc>
          <w:tcPr>
            <w:shd w:fill="FFFFFF" w:val="clear"/>
          </w:tcPr>
          <w:p>
            <w:r>
              <w:rPr>
                <w:rFonts w:ascii="Times New Roman" w:cs="Times New Roman" w:eastAsia="Times New Roman" w:hAnsi="Times New Roman"/>
                <w:color w:val="1F2937"/>
                <w:sz w:val="22"/>
                <w:szCs w:val="22"/>
              </w:rPr>
              <w:t xml:space="preserve">5 %</w:t>
            </w:r>
          </w:p>
        </w:tc>
        <w:tc>
          <w:tcPr>
            <w:shd w:fill="FFFFFF" w:val="clear"/>
          </w:tcPr>
          <w:p>
            <w:r>
              <w:rPr>
                <w:rFonts w:ascii="Times New Roman" w:cs="Times New Roman" w:eastAsia="Times New Roman" w:hAnsi="Times New Roman"/>
                <w:color w:val="1F2937"/>
                <w:sz w:val="22"/>
                <w:szCs w:val="22"/>
              </w:rPr>
              <w:t xml:space="preserve">0,2 % (ETF)</w:t>
            </w:r>
          </w:p>
        </w:tc>
        <w:tc>
          <w:tcPr>
            <w:shd w:fill="FFFFFF" w:val="clear"/>
          </w:tcPr>
          <w:p>
            <w:r>
              <w:rPr>
                <w:rFonts w:ascii="Times New Roman" w:cs="Times New Roman" w:eastAsia="Times New Roman" w:hAnsi="Times New Roman"/>
                <w:color w:val="1F2937"/>
                <w:sz w:val="22"/>
                <w:szCs w:val="22"/>
              </w:rPr>
              <w:t xml:space="preserve">7 ans</w:t>
            </w:r>
          </w:p>
        </w:tc>
        <w:tc>
          <w:tcPr>
            <w:shd w:fill="FFFFFF" w:val="clear"/>
          </w:tcPr>
          <w:p>
            <w:r>
              <w:rPr>
                <w:rFonts w:ascii="Times New Roman" w:cs="Times New Roman" w:eastAsia="Times New Roman" w:hAnsi="Times New Roman"/>
                <w:color w:val="1F2937"/>
                <w:sz w:val="22"/>
                <w:szCs w:val="22"/>
              </w:rPr>
              <w:t xml:space="preserve">≈ 14 550 €</w:t>
            </w:r>
          </w:p>
        </w:tc>
      </w:tr>
      <w:tr>
        <w:tc>
          <w:tcPr>
            <w:shd w:fill="EEF2F7" w:val="clear"/>
          </w:tcPr>
          <w:p>
            <w:r>
              <w:rPr>
                <w:rFonts w:ascii="Times New Roman" w:cs="Times New Roman" w:eastAsia="Times New Roman" w:hAnsi="Times New Roman"/>
                <w:color w:val="1F2937"/>
                <w:sz w:val="22"/>
                <w:szCs w:val="22"/>
              </w:rPr>
              <w:t xml:space="preserve">10 000 €</w:t>
            </w:r>
          </w:p>
        </w:tc>
        <w:tc>
          <w:tcPr>
            <w:shd w:fill="EEF2F7" w:val="clear"/>
          </w:tcPr>
          <w:p>
            <w:r>
              <w:rPr>
                <w:rFonts w:ascii="Times New Roman" w:cs="Times New Roman" w:eastAsia="Times New Roman" w:hAnsi="Times New Roman"/>
                <w:color w:val="1F2937"/>
                <w:sz w:val="22"/>
                <w:szCs w:val="22"/>
              </w:rPr>
              <w:t xml:space="preserve">5 %</w:t>
            </w:r>
          </w:p>
        </w:tc>
        <w:tc>
          <w:tcPr>
            <w:shd w:fill="EEF2F7" w:val="clear"/>
          </w:tcPr>
          <w:p>
            <w:r>
              <w:rPr>
                <w:rFonts w:ascii="Times New Roman" w:cs="Times New Roman" w:eastAsia="Times New Roman" w:hAnsi="Times New Roman"/>
                <w:color w:val="1F2937"/>
                <w:sz w:val="22"/>
                <w:szCs w:val="22"/>
              </w:rPr>
              <w:t xml:space="preserve">1,5 % (fonds actif)</w:t>
            </w:r>
          </w:p>
        </w:tc>
        <w:tc>
          <w:tcPr>
            <w:shd w:fill="EEF2F7" w:val="clear"/>
          </w:tcPr>
          <w:p>
            <w:r>
              <w:rPr>
                <w:rFonts w:ascii="Times New Roman" w:cs="Times New Roman" w:eastAsia="Times New Roman" w:hAnsi="Times New Roman"/>
                <w:color w:val="1F2937"/>
                <w:sz w:val="22"/>
                <w:szCs w:val="22"/>
              </w:rPr>
              <w:t xml:space="preserve">7 ans</w:t>
            </w:r>
          </w:p>
        </w:tc>
        <w:tc>
          <w:tcPr>
            <w:shd w:fill="EEF2F7" w:val="clear"/>
          </w:tcPr>
          <w:p>
            <w:r>
              <w:rPr>
                <w:rFonts w:ascii="Times New Roman" w:cs="Times New Roman" w:eastAsia="Times New Roman" w:hAnsi="Times New Roman"/>
                <w:color w:val="1F2937"/>
                <w:sz w:val="22"/>
                <w:szCs w:val="22"/>
              </w:rPr>
              <w:t xml:space="preserve">≈ 13 360 €</w:t>
            </w:r>
          </w:p>
        </w:tc>
      </w:tr>
      <w:tr>
        <w:tc>
          <w:tcPr>
            <w:shd w:fill="FFFFFF" w:val="clear"/>
          </w:tcPr>
          <w:p>
            <w:r>
              <w:rPr>
                <w:rFonts w:ascii="Times New Roman" w:cs="Times New Roman" w:eastAsia="Times New Roman" w:hAnsi="Times New Roman"/>
                <w:color w:val="1F2937"/>
                <w:sz w:val="22"/>
                <w:szCs w:val="22"/>
              </w:rPr>
              <w:t xml:space="preserve">10 000 €</w:t>
            </w:r>
          </w:p>
        </w:tc>
        <w:tc>
          <w:tcPr>
            <w:shd w:fill="FFFFFF" w:val="clear"/>
          </w:tcPr>
          <w:p>
            <w:r>
              <w:rPr>
                <w:rFonts w:ascii="Times New Roman" w:cs="Times New Roman" w:eastAsia="Times New Roman" w:hAnsi="Times New Roman"/>
                <w:color w:val="1F2937"/>
                <w:sz w:val="22"/>
                <w:szCs w:val="22"/>
              </w:rPr>
              <w:t xml:space="preserve">5 %</w:t>
            </w:r>
          </w:p>
        </w:tc>
        <w:tc>
          <w:tcPr>
            <w:shd w:fill="FFFFFF" w:val="clear"/>
          </w:tcPr>
          <w:p>
            <w:r>
              <w:rPr>
                <w:rFonts w:ascii="Times New Roman" w:cs="Times New Roman" w:eastAsia="Times New Roman" w:hAnsi="Times New Roman"/>
                <w:color w:val="1F2937"/>
                <w:sz w:val="22"/>
                <w:szCs w:val="22"/>
              </w:rPr>
              <w:t xml:space="preserve">2,5 % (fonds actif cher)</w:t>
            </w:r>
          </w:p>
        </w:tc>
        <w:tc>
          <w:tcPr>
            <w:shd w:fill="FFFFFF" w:val="clear"/>
          </w:tcPr>
          <w:p>
            <w:r>
              <w:rPr>
                <w:rFonts w:ascii="Times New Roman" w:cs="Times New Roman" w:eastAsia="Times New Roman" w:hAnsi="Times New Roman"/>
                <w:color w:val="1F2937"/>
                <w:sz w:val="22"/>
                <w:szCs w:val="22"/>
              </w:rPr>
              <w:t xml:space="preserve">7 ans</w:t>
            </w:r>
          </w:p>
        </w:tc>
        <w:tc>
          <w:tcPr>
            <w:shd w:fill="FFFFFF" w:val="clear"/>
          </w:tcPr>
          <w:p>
            <w:r>
              <w:rPr>
                <w:rFonts w:ascii="Times New Roman" w:cs="Times New Roman" w:eastAsia="Times New Roman" w:hAnsi="Times New Roman"/>
                <w:color w:val="1F2937"/>
                <w:sz w:val="22"/>
                <w:szCs w:val="22"/>
              </w:rPr>
              <w:t xml:space="preserve">≈ 12 440 €</w:t>
            </w:r>
          </w:p>
        </w:tc>
      </w:tr>
    </w:tbl>
    <w:p>
      <w:pPr>
        <w:spacing w:after="60" w:before="60"/>
      </w:pPr>
      <w:r>
        <w:rPr>
          <w:rFonts w:ascii="Times New Roman" w:cs="Times New Roman" w:eastAsia="Times New Roman" w:hAnsi="Times New Roman"/>
          <w:b w:val="false"/>
          <w:bCs w:val="false"/>
          <w:i w:val="false"/>
          <w:iCs w:val="false"/>
          <w:color w:val="1F2937"/>
          <w:sz w:val="22"/>
          <w:szCs w:val="22"/>
        </w:rPr>
        <w:t xml:space="preserve">(Calculs indicatifs, hors fiscalité, à titre pédagogique uniquement. Utilise le simulateur AMF pour tes propres simulations.)</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iCs/>
          <w:color w:val="1F2937"/>
          <w:sz w:val="22"/>
          <w:szCs w:val="22"/>
        </w:rPr>
        <w:t xml:space="preserve">Lecture du tableau : pour un même rendement brut de 5 % et un même horizon de 7 ans, la différence de capital entre un produit à 0,2 % de frais et un produit à 2,5 % de frais représente plus de 2 100 € sur 10 000 € investis, soit 21 % du capital de départ. Les frais sont la seule variable entièrement maîtrisable par l'investisseur — le rendement, lui, ne l'est pas.</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4. Frais dans l'assurance-vie : l'empilement</w:t>
      </w:r>
    </w:p>
    <w:p>
      <w:pPr>
        <w:spacing w:after="60" w:before="60"/>
      </w:pPr>
      <w:r>
        <w:rPr>
          <w:rFonts w:ascii="Times New Roman" w:cs="Times New Roman" w:eastAsia="Times New Roman" w:hAnsi="Times New Roman"/>
          <w:b w:val="false"/>
          <w:bCs w:val="false"/>
          <w:i w:val="false"/>
          <w:iCs w:val="false"/>
          <w:color w:val="1F2937"/>
          <w:sz w:val="22"/>
          <w:szCs w:val="22"/>
        </w:rPr>
        <w:t xml:space="preserve">L'assurance-vie présente une structure de frais à deux niveaux qui peut s'avérer particulièrement coûteuse pour les unités de compte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Frais de gestion du contrat : prélevés par l'assureur sur l'ensemble de l'épargne (typiquement 0,5 % à 1 % / an pour les contrats en ligne, jusqu'à 1 % pour les contrats bancaires).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Frais des supports sous-jacents (OPCVM, ETF, SCPI) : s'ajoutent aux frais du contrat. Le coût total annuel peut dépasser 3 % / an dans les contrats bancaires (1 % contrat + 2 % fonds).</w:t>
      </w:r>
    </w:p>
    <w:p>
      <w:pPr>
        <w:spacing w:after="60" w:before="60"/>
      </w:pPr>
      <w:r>
        <w:rPr>
          <w:rFonts w:ascii="Times New Roman" w:cs="Times New Roman" w:eastAsia="Times New Roman" w:hAnsi="Times New Roman"/>
          <w:b w:val="false"/>
          <w:bCs w:val="false"/>
          <w:i w:val="false"/>
          <w:iCs w:val="false"/>
          <w:color w:val="1F2937"/>
          <w:sz w:val="22"/>
          <w:szCs w:val="22"/>
        </w:rPr>
        <w:t xml:space="preserve">(Source : synthèse WebSearch, données issues de comparateurs — non citation directe de chiffres réglementaires.)</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hd w:fill="F3F4F6" w:val="clear"/>
        <w:spacing w:after="120" w:before="120"/>
        <w:ind w:left="431" w:right="431"/>
      </w:pPr>
      <w:r>
        <w:rPr>
          <w:rFonts w:ascii="Times New Roman" w:cs="Times New Roman" w:eastAsia="Times New Roman" w:hAnsi="Times New Roman"/>
          <w:color w:val="1F2937"/>
          <w:sz w:val="22"/>
          <w:szCs w:val="22"/>
        </w:rPr>
        <w:br/>
        <w:t xml:space="preserve">Règle pratique : compare toujours le coût total (frais contrat + frais support) et non uniquement l'un des deux niveaux.</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Pratique (80 %) — Trois exercices</w:t>
      </w:r>
    </w:p>
    <w:p>
      <w:pPr>
        <w:pStyle w:val="Heading3"/>
        <w:spacing w:after="80" w:before="200"/>
      </w:pPr>
      <w:r>
        <w:rPr>
          <w:rFonts w:ascii="Times New Roman" w:cs="Times New Roman" w:eastAsia="Times New Roman" w:hAnsi="Times New Roman"/>
          <w:b/>
          <w:bCs/>
          <w:color w:val="1F2937"/>
          <w:sz w:val="26"/>
          <w:szCs w:val="26"/>
        </w:rPr>
        <w:t xml:space="preserve">Exercice 1 — Décryptage d'une nomenclature de frais</w:t>
      </w:r>
    </w:p>
    <w:p>
      <w:pPr>
        <w:spacing w:after="60" w:before="60"/>
      </w:pPr>
      <w:r>
        <w:rPr>
          <w:rFonts w:ascii="Times New Roman" w:cs="Times New Roman" w:eastAsia="Times New Roman" w:hAnsi="Times New Roman"/>
          <w:b w:val="false"/>
          <w:bCs w:val="false"/>
          <w:i w:val="false"/>
          <w:iCs w:val="false"/>
          <w:color w:val="1F2937"/>
          <w:sz w:val="22"/>
          <w:szCs w:val="22"/>
        </w:rPr>
        <w:t xml:space="preserve">Voici un extrait fictif (mais représentatif) d'un document d'informations clés (DIC)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hd w:fill="F3F4F6" w:val="clear"/>
        <w:spacing w:after="120" w:before="120"/>
        <w:ind w:left="431" w:right="431"/>
      </w:pPr>
      <w:r>
        <w:rPr>
          <w:rFonts w:ascii="Times New Roman" w:cs="Times New Roman" w:eastAsia="Times New Roman" w:hAnsi="Times New Roman"/>
          <w:color w:val="1F2937"/>
          <w:sz w:val="22"/>
          <w:szCs w:val="22"/>
        </w:rPr>
        <w:br/>
        <w:t xml:space="preserve">Frais d'entrée : 3 %</w:t>
      </w:r>
      <w:r>
        <w:rPr>
          <w:rFonts w:ascii="Times New Roman" w:cs="Times New Roman" w:eastAsia="Times New Roman" w:hAnsi="Times New Roman"/>
          <w:color w:val="1F2937"/>
          <w:sz w:val="22"/>
          <w:szCs w:val="22"/>
        </w:rPr>
        <w:br/>
        <w:t xml:space="preserve">Frais courants (TER) : 1,85 %</w:t>
      </w:r>
      <w:r>
        <w:rPr>
          <w:rFonts w:ascii="Times New Roman" w:cs="Times New Roman" w:eastAsia="Times New Roman" w:hAnsi="Times New Roman"/>
          <w:color w:val="1F2937"/>
          <w:sz w:val="22"/>
          <w:szCs w:val="22"/>
        </w:rPr>
        <w:br/>
        <w:t xml:space="preserve">Commission de performance : 20 % de la surperformance au-delà de l'indice de référence</w:t>
      </w:r>
      <w:r>
        <w:rPr>
          <w:rFonts w:ascii="Times New Roman" w:cs="Times New Roman" w:eastAsia="Times New Roman" w:hAnsi="Times New Roman"/>
          <w:color w:val="1F2937"/>
          <w:sz w:val="22"/>
          <w:szCs w:val="22"/>
        </w:rPr>
        <w:br/>
        <w:t xml:space="preserve">Frais de sortie : néant</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Pour un versement initial de 5 000 €, quel montant est effectivement investi après déduction des frais d'entrée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Si la valeur de ton investissement est de 6 000 € au bout d'un an et que le fonds n'a pas surperformé son indice, combien de frais annuels (TER) ont été prélevés environ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L'année suivante, le fonds réalise 8 % de performance brute alors que son indice réalise 5 %. Combien de commission de surperformance est prélevée sur 6 000 €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5 000 € × (1 − 0,03) = 5 000 × 0,97 = 4 850 € effectivement investis.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TER de 1,85 % sur 6 000 € ≈ 6 000 × 0,0185 = 111 €. (Ce montant est déduit de la valeur liquidative, donc non facturé séparément mais inclus dans la performance nette.)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Surperformance = 8 % − 5 % = 3 %. 20 % de 3 % sur 6 000 € = 6 000 × 0,03 × 0,20 = 36 €.</w:t>
      </w:r>
    </w:p>
    <w:p>
      <w:pPr>
        <w:spacing w:after="120" w:before="120"/>
      </w:pPr>
      <w:r>
        <w:rPr>
          <w:rFonts w:ascii="Times New Roman" w:cs="Times New Roman" w:eastAsia="Times New Roman" w:hAnsi="Times New Roman"/>
          <w:color w:val="CCCCCC"/>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Exercice 2 — Simulation de l'impact à 7 ans</w:t>
      </w:r>
    </w:p>
    <w:p>
      <w:pPr>
        <w:spacing w:after="60" w:before="60"/>
      </w:pPr>
      <w:r>
        <w:rPr>
          <w:rFonts w:ascii="Times New Roman" w:cs="Times New Roman" w:eastAsia="Times New Roman" w:hAnsi="Times New Roman"/>
          <w:b w:val="false"/>
          <w:bCs w:val="false"/>
          <w:i w:val="false"/>
          <w:iCs w:val="false"/>
          <w:color w:val="1F2937"/>
          <w:sz w:val="22"/>
          <w:szCs w:val="22"/>
        </w:rPr>
        <w:t xml:space="preserve">Tu disposes de 15 000 € à investir sur 7 ans. Tu envisages deux options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Option A : Fonds actif diversifié — rendement brut estimé 5 % / an, TER 2 % / an, pas de frais d'entrée.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Option B : ETF sur indice large — rendement brut estimé 5 % / an, TER 0,2 % / an, pas de frais d'entrée.</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Calcule le capital final estimé pour chaque option après 7 ans (formule : C × (1 + r_net)^n, avec r_net = rendement brut − TER).</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Quelle est la différence en euros entre les deux options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En quoi cette différence illustre-t-elle l'effet des frais par les intérêts composés à rebours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Option A : r_net = 5 % − 2 % = 3 % · Capital = 15 000 × (1,03)^7 = 15 000 × 1,2299 ≈ 18 449 €. Option B : r_net = 5 % − 0,2 % = 4,8 % · Capital = 15 000 × (1,048)^7 = 15 000 × 1,3893 ≈ 20 840 €.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Différence ≈ 20 840 − 18 449 = 2 391 €, soit l'équivalent de 15,9 % du capital initial.</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L'écart de 1,8 % de frais annuels se capitalise sur 7 ans : chaque euro non prélevé en frais génère à son tour des intérêts. C'est l'effet multiplicateur de l'intérêt composé, ici subi à l'envers par l'investisseur qui supporte des frais élevés.</w:t>
      </w:r>
    </w:p>
    <w:p>
      <w:pPr>
        <w:spacing w:after="120" w:before="120"/>
      </w:pPr>
      <w:r>
        <w:rPr>
          <w:rFonts w:ascii="Times New Roman" w:cs="Times New Roman" w:eastAsia="Times New Roman" w:hAnsi="Times New Roman"/>
          <w:color w:val="CCCCCC"/>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Exercice 3 — Identifier les rétrocessions et les questions à poser</w:t>
      </w:r>
    </w:p>
    <w:p>
      <w:pPr>
        <w:spacing w:after="60" w:before="60"/>
      </w:pPr>
      <w:r>
        <w:rPr>
          <w:rFonts w:ascii="Times New Roman" w:cs="Times New Roman" w:eastAsia="Times New Roman" w:hAnsi="Times New Roman"/>
          <w:b w:val="false"/>
          <w:bCs w:val="false"/>
          <w:i w:val="false"/>
          <w:iCs w:val="false"/>
          <w:color w:val="1F2937"/>
          <w:sz w:val="22"/>
          <w:szCs w:val="22"/>
        </w:rPr>
        <w:t xml:space="preserve">Tu rencontres un conseiller bancaire qui te propose un fonds en UC dans ton contrat d'assurance-vie. La plaquette mentionne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hd w:fill="F3F4F6" w:val="clear"/>
        <w:spacing w:after="120" w:before="120"/>
        <w:ind w:left="431" w:right="431"/>
      </w:pPr>
      <w:r>
        <w:rPr>
          <w:rFonts w:ascii="Times New Roman" w:cs="Times New Roman" w:eastAsia="Times New Roman" w:hAnsi="Times New Roman"/>
          <w:color w:val="1F2937"/>
          <w:sz w:val="22"/>
          <w:szCs w:val="22"/>
        </w:rPr>
        <w:br/>
        <w:t xml:space="preserve">Frais de gestion du contrat : 0,96 % / an</w:t>
      </w:r>
      <w:r>
        <w:rPr>
          <w:rFonts w:ascii="Times New Roman" w:cs="Times New Roman" w:eastAsia="Times New Roman" w:hAnsi="Times New Roman"/>
          <w:color w:val="1F2937"/>
          <w:sz w:val="22"/>
          <w:szCs w:val="22"/>
        </w:rPr>
        <w:br/>
        <w:t xml:space="preserve">Frais courants du fonds UC proposé : 1,80 % / an</w:t>
      </w:r>
      <w:r>
        <w:rPr>
          <w:rFonts w:ascii="Times New Roman" w:cs="Times New Roman" w:eastAsia="Times New Roman" w:hAnsi="Times New Roman"/>
          <w:color w:val="1F2937"/>
          <w:sz w:val="22"/>
          <w:szCs w:val="22"/>
        </w:rPr>
        <w:br/>
        <w:t xml:space="preserve">Aucun frais d'entrée</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Quel est le coût total annuel de cet investissement (frais contrat + frais fonds)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Le conseiller est rémunéré en partie par des rétrocessions. Quelle question précise peux-tu lui poser pour comprendre son mode de rémunération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Quelle alternative moins chargée en frais permettrait d'investir sur un indice large via une assurance-vie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Coût total = 0,96 % + 1,80 % = 2,76 % / an. Sur 20 000 € investis, cela représente environ 552 € prélevés la première année, avant tout rendement.</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Question à poser : « Quelle part de mes frais de gestion vous est rétrocédée à titre de commission ? Êtes-vous rémunéré exclusivement par des rétrocessions ou percevez-vous également des honoraires directs ? » (droit reconnu par MiFID II).</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Alternative : un ETF indiciel disponible dans l'assurance-vie (frais de support 0,15–0,35 % / an) couplé à un contrat en ligne à faibles frais (&lt; 0,6 % / an) permet de ramener le coût total à moins de 1 % / an. La comparaison est neutre : le choix final dépend des objectifs, de l'offre disponible, et doit être validé avec un CGP agréé.</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Challenge — L'audit des frais de ton épargne fictive</w:t>
      </w:r>
    </w:p>
    <w:p>
      <w:pPr>
        <w:spacing w:after="60" w:before="60"/>
      </w:pPr>
      <w:r>
        <w:rPr>
          <w:rFonts w:ascii="Times New Roman" w:cs="Times New Roman" w:eastAsia="Times New Roman" w:hAnsi="Times New Roman"/>
          <w:b w:val="false"/>
          <w:bCs w:val="false"/>
          <w:i w:val="false"/>
          <w:iCs w:val="false"/>
          <w:color w:val="1F2937"/>
          <w:sz w:val="22"/>
          <w:szCs w:val="22"/>
        </w:rPr>
        <w:t xml:space="preserve">Exercice de synthèse :</w:t>
      </w:r>
    </w:p>
    <w:p>
      <w:pPr>
        <w:spacing w:after="60" w:before="60"/>
      </w:pPr>
      <w:r>
        <w:rPr>
          <w:rFonts w:ascii="Times New Roman" w:cs="Times New Roman" w:eastAsia="Times New Roman" w:hAnsi="Times New Roman"/>
          <w:b w:val="false"/>
          <w:bCs w:val="false"/>
          <w:i w:val="false"/>
          <w:iCs w:val="false"/>
          <w:color w:val="1F2937"/>
          <w:sz w:val="22"/>
          <w:szCs w:val="22"/>
        </w:rPr>
        <w:t xml:space="preserve">Imagine que tu détiens les placements fictifs suivants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r>
              <w:rPr>
                <w:rFonts w:ascii="Times New Roman" w:cs="Times New Roman" w:eastAsia="Times New Roman" w:hAnsi="Times New Roman"/>
                <w:b/>
                <w:bCs/>
                <w:color w:val="FFFFFF"/>
                <w:sz w:val="22"/>
                <w:szCs w:val="22"/>
              </w:rPr>
              <w:t xml:space="preserve">Placement</w:t>
            </w:r>
          </w:p>
        </w:tc>
        <w:tc>
          <w:tcPr>
            <w:shd w:fill="1B3A6B" w:val="clear"/>
          </w:tcPr>
          <w:p>
            <w:r>
              <w:rPr>
                <w:rFonts w:ascii="Times New Roman" w:cs="Times New Roman" w:eastAsia="Times New Roman" w:hAnsi="Times New Roman"/>
                <w:b/>
                <w:bCs/>
                <w:color w:val="FFFFFF"/>
                <w:sz w:val="22"/>
                <w:szCs w:val="22"/>
              </w:rPr>
              <w:t xml:space="preserve">Encours fictif</w:t>
            </w:r>
          </w:p>
        </w:tc>
        <w:tc>
          <w:tcPr>
            <w:shd w:fill="1B3A6B" w:val="clear"/>
          </w:tcPr>
          <w:p>
            <w:r>
              <w:rPr>
                <w:rFonts w:ascii="Times New Roman" w:cs="Times New Roman" w:eastAsia="Times New Roman" w:hAnsi="Times New Roman"/>
                <w:b/>
                <w:bCs/>
                <w:color w:val="FFFFFF"/>
                <w:sz w:val="22"/>
                <w:szCs w:val="22"/>
              </w:rPr>
              <w:t xml:space="preserve">Frais d'entrée déjà payés</w:t>
            </w:r>
          </w:p>
        </w:tc>
        <w:tc>
          <w:tcPr>
            <w:shd w:fill="1B3A6B" w:val="clear"/>
          </w:tcPr>
          <w:p>
            <w:r>
              <w:rPr>
                <w:rFonts w:ascii="Times New Roman" w:cs="Times New Roman" w:eastAsia="Times New Roman" w:hAnsi="Times New Roman"/>
                <w:b/>
                <w:bCs/>
                <w:color w:val="FFFFFF"/>
                <w:sz w:val="22"/>
                <w:szCs w:val="22"/>
              </w:rPr>
              <w:t xml:space="preserve">Frais annuels</w:t>
            </w:r>
          </w:p>
        </w:tc>
      </w:tr>
      <w:tr>
        <w:tc>
          <w:tcPr>
            <w:shd w:fill="FFFFFF" w:val="clear"/>
          </w:tcPr>
          <w:p>
            <w:r>
              <w:rPr>
                <w:rFonts w:ascii="Times New Roman" w:cs="Times New Roman" w:eastAsia="Times New Roman" w:hAnsi="Times New Roman"/>
                <w:color w:val="1F2937"/>
                <w:sz w:val="22"/>
                <w:szCs w:val="22"/>
              </w:rPr>
              <w:t xml:space="preserve">Fonds actions en assurance-vie (UC)</w:t>
            </w:r>
          </w:p>
        </w:tc>
        <w:tc>
          <w:tcPr>
            <w:shd w:fill="FFFFFF" w:val="clear"/>
          </w:tcPr>
          <w:p>
            <w:r>
              <w:rPr>
                <w:rFonts w:ascii="Times New Roman" w:cs="Times New Roman" w:eastAsia="Times New Roman" w:hAnsi="Times New Roman"/>
                <w:color w:val="1F2937"/>
                <w:sz w:val="22"/>
                <w:szCs w:val="22"/>
              </w:rPr>
              <w:t xml:space="preserve">12 000 €</w:t>
            </w:r>
          </w:p>
        </w:tc>
        <w:tc>
          <w:tcPr>
            <w:shd w:fill="FFFFFF" w:val="clear"/>
          </w:tcPr>
          <w:p>
            <w:r>
              <w:rPr>
                <w:rFonts w:ascii="Times New Roman" w:cs="Times New Roman" w:eastAsia="Times New Roman" w:hAnsi="Times New Roman"/>
                <w:color w:val="1F2937"/>
                <w:sz w:val="22"/>
                <w:szCs w:val="22"/>
              </w:rPr>
              <w:t xml:space="preserve">0 €</w:t>
            </w:r>
          </w:p>
        </w:tc>
        <w:tc>
          <w:tcPr>
            <w:shd w:fill="FFFFFF" w:val="clear"/>
          </w:tcPr>
          <w:p>
            <w:r>
              <w:rPr>
                <w:rFonts w:ascii="Times New Roman" w:cs="Times New Roman" w:eastAsia="Times New Roman" w:hAnsi="Times New Roman"/>
                <w:color w:val="1F2937"/>
                <w:sz w:val="22"/>
                <w:szCs w:val="22"/>
              </w:rPr>
              <w:t xml:space="preserve">2,80 % / an (contrat + UC)</w:t>
            </w:r>
          </w:p>
        </w:tc>
      </w:tr>
      <w:tr>
        <w:tc>
          <w:tcPr>
            <w:shd w:fill="EEF2F7" w:val="clear"/>
          </w:tcPr>
          <w:p>
            <w:r>
              <w:rPr>
                <w:rFonts w:ascii="Times New Roman" w:cs="Times New Roman" w:eastAsia="Times New Roman" w:hAnsi="Times New Roman"/>
                <w:color w:val="1F2937"/>
                <w:sz w:val="22"/>
                <w:szCs w:val="22"/>
              </w:rPr>
              <w:t xml:space="preserve">PEA avec fonds actif</w:t>
            </w:r>
          </w:p>
        </w:tc>
        <w:tc>
          <w:tcPr>
            <w:shd w:fill="EEF2F7" w:val="clear"/>
          </w:tcPr>
          <w:p>
            <w:r>
              <w:rPr>
                <w:rFonts w:ascii="Times New Roman" w:cs="Times New Roman" w:eastAsia="Times New Roman" w:hAnsi="Times New Roman"/>
                <w:color w:val="1F2937"/>
                <w:sz w:val="22"/>
                <w:szCs w:val="22"/>
              </w:rPr>
              <w:t xml:space="preserve">8 000 €</w:t>
            </w:r>
          </w:p>
        </w:tc>
        <w:tc>
          <w:tcPr>
            <w:shd w:fill="EEF2F7" w:val="clear"/>
          </w:tcPr>
          <w:p>
            <w:r>
              <w:rPr>
                <w:rFonts w:ascii="Times New Roman" w:cs="Times New Roman" w:eastAsia="Times New Roman" w:hAnsi="Times New Roman"/>
                <w:color w:val="1F2937"/>
                <w:sz w:val="22"/>
                <w:szCs w:val="22"/>
              </w:rPr>
              <w:t xml:space="preserve">2 % (payés à l'entrée)</w:t>
            </w:r>
          </w:p>
        </w:tc>
        <w:tc>
          <w:tcPr>
            <w:shd w:fill="EEF2F7" w:val="clear"/>
          </w:tcPr>
          <w:p>
            <w:r>
              <w:rPr>
                <w:rFonts w:ascii="Times New Roman" w:cs="Times New Roman" w:eastAsia="Times New Roman" w:hAnsi="Times New Roman"/>
                <w:color w:val="1F2937"/>
                <w:sz w:val="22"/>
                <w:szCs w:val="22"/>
              </w:rPr>
              <w:t xml:space="preserve">1,60 % / an</w:t>
            </w:r>
          </w:p>
        </w:tc>
      </w:tr>
      <w:tr>
        <w:tc>
          <w:tcPr>
            <w:shd w:fill="FFFFFF" w:val="clear"/>
          </w:tcPr>
          <w:p>
            <w:r>
              <w:rPr>
                <w:rFonts w:ascii="Times New Roman" w:cs="Times New Roman" w:eastAsia="Times New Roman" w:hAnsi="Times New Roman"/>
                <w:color w:val="1F2937"/>
                <w:sz w:val="22"/>
                <w:szCs w:val="22"/>
              </w:rPr>
              <w:t xml:space="preserve">Livret A</w:t>
            </w:r>
          </w:p>
        </w:tc>
        <w:tc>
          <w:tcPr>
            <w:shd w:fill="FFFFFF" w:val="clear"/>
          </w:tcPr>
          <w:p>
            <w:r>
              <w:rPr>
                <w:rFonts w:ascii="Times New Roman" w:cs="Times New Roman" w:eastAsia="Times New Roman" w:hAnsi="Times New Roman"/>
                <w:color w:val="1F2937"/>
                <w:sz w:val="22"/>
                <w:szCs w:val="22"/>
              </w:rPr>
              <w:t xml:space="preserve">5 000 €</w:t>
            </w:r>
          </w:p>
        </w:tc>
        <w:tc>
          <w:tcPr>
            <w:shd w:fill="FFFFFF" w:val="clear"/>
          </w:tcPr>
          <w:p>
            <w:r>
              <w:rPr>
                <w:rFonts w:ascii="Times New Roman" w:cs="Times New Roman" w:eastAsia="Times New Roman" w:hAnsi="Times New Roman"/>
                <w:color w:val="1F2937"/>
                <w:sz w:val="22"/>
                <w:szCs w:val="22"/>
              </w:rPr>
              <w:t xml:space="preserve">0 €</w:t>
            </w:r>
          </w:p>
        </w:tc>
        <w:tc>
          <w:tcPr>
            <w:shd w:fill="FFFFFF" w:val="clear"/>
          </w:tcPr>
          <w:p>
            <w:r>
              <w:rPr>
                <w:rFonts w:ascii="Times New Roman" w:cs="Times New Roman" w:eastAsia="Times New Roman" w:hAnsi="Times New Roman"/>
                <w:color w:val="1F2937"/>
                <w:sz w:val="22"/>
                <w:szCs w:val="22"/>
              </w:rPr>
              <w:t xml:space="preserve">0 % (pas de frais)</w:t>
            </w:r>
          </w:p>
        </w:tc>
      </w:tr>
      <w:tr>
        <w:tc>
          <w:tcPr>
            <w:shd w:fill="EEF2F7" w:val="clear"/>
          </w:tcPr>
          <w:p>
            <w:r>
              <w:rPr>
                <w:rFonts w:ascii="Times New Roman" w:cs="Times New Roman" w:eastAsia="Times New Roman" w:hAnsi="Times New Roman"/>
                <w:color w:val="1F2937"/>
                <w:sz w:val="22"/>
                <w:szCs w:val="22"/>
              </w:rPr>
              <w:t xml:space="preserve">Compte-titres avec ETF</w:t>
            </w:r>
          </w:p>
        </w:tc>
        <w:tc>
          <w:tcPr>
            <w:shd w:fill="EEF2F7" w:val="clear"/>
          </w:tcPr>
          <w:p>
            <w:r>
              <w:rPr>
                <w:rFonts w:ascii="Times New Roman" w:cs="Times New Roman" w:eastAsia="Times New Roman" w:hAnsi="Times New Roman"/>
                <w:color w:val="1F2937"/>
                <w:sz w:val="22"/>
                <w:szCs w:val="22"/>
              </w:rPr>
              <w:t xml:space="preserve">6 000 €</w:t>
            </w:r>
          </w:p>
        </w:tc>
        <w:tc>
          <w:tcPr>
            <w:shd w:fill="EEF2F7" w:val="clear"/>
          </w:tcPr>
          <w:p>
            <w:r>
              <w:rPr>
                <w:rFonts w:ascii="Times New Roman" w:cs="Times New Roman" w:eastAsia="Times New Roman" w:hAnsi="Times New Roman"/>
                <w:color w:val="1F2937"/>
                <w:sz w:val="22"/>
                <w:szCs w:val="22"/>
              </w:rPr>
              <w:t xml:space="preserve">0 €</w:t>
            </w:r>
          </w:p>
        </w:tc>
        <w:tc>
          <w:tcPr>
            <w:shd w:fill="EEF2F7" w:val="clear"/>
          </w:tcPr>
          <w:p>
            <w:r>
              <w:rPr>
                <w:rFonts w:ascii="Times New Roman" w:cs="Times New Roman" w:eastAsia="Times New Roman" w:hAnsi="Times New Roman"/>
                <w:color w:val="1F2937"/>
                <w:sz w:val="22"/>
                <w:szCs w:val="22"/>
              </w:rPr>
              <w:t xml:space="preserve">0,30 % / an + droits de garde 0,15 %</w:t>
            </w:r>
          </w:p>
        </w:tc>
      </w:tr>
    </w:tbl>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Classe ces placements du plus coûteux au moins coûteux en termes de frais annuels (en euros, sur les encours fictifs donnés).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Sur les 31 000 € fictifs, combien paient-ils en frais annuels cumulés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Si tu ramenais les frais de l'UC en assurance-vie de 2,80 % à 1,00 % (contrat + support), quel serait le gain annuel estimé sur cet encours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 Quelles 3 questions concrètes poseras-tu à ton CGP lors d'un audit de ton portefeuille réel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UC assurance-vie : 12 000 × 2,80 % = 336 €/an · PEA fonds actif : 8 000 × 1,60 % = 128 €/an · Compte-titres ETF : 6 000 × (0,30 % + 0,15 %) = 6 000 × 0,45 % = 27 €/an · Livret A : 0 €/an. Classement (du plus cher au moins cher) : UC AV &gt; PEA fonds actif &gt; CTO ETF &gt; Livret A.</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Total frais annuels fictifs = 336 + 128 + 27 + 0 = 491 €/an sur 31 000 €, soit un taux moyen de 1,58 % / an.</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Gain sur l'UC : 12 000 × (2,80 % − 1,00 %) = 12 000 × 1,80 % = 216 €/an — montant qui resterait investi et se capitaliserait sur la durée restante.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 Questions à poser au CGP : (1) « Quel est le coût total annuel de chaque placement (TER + frais contrat) ? » · (2) « Quelle part de vos honoraires provient de rétrocessions des sociétés de gestion ? » · (3) « Existe-t-il des alternatives moins chargées en frais offrant un profil de risque comparable ? »</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Pont professionnel (facultatif)</w:t>
      </w:r>
    </w:p>
    <w:p>
      <w:pPr>
        <w:spacing w:after="60" w:before="60"/>
      </w:pPr>
      <w:r>
        <w:rPr>
          <w:rFonts w:ascii="Times New Roman" w:cs="Times New Roman" w:eastAsia="Times New Roman" w:hAnsi="Times New Roman"/>
          <w:b w:val="false"/>
          <w:bCs w:val="false"/>
          <w:i w:val="false"/>
          <w:iCs w:val="false"/>
          <w:color w:val="1F2937"/>
          <w:sz w:val="22"/>
          <w:szCs w:val="22"/>
        </w:rPr>
        <w:t xml:space="preserve">Dans un établissement médico-social, la rigueur dans l'analyse des coûts cachés s'applique aussi aux achats et aux prestations externalisées : un prestataire moins-disant en affichage peut inclure des frais de gestion, de renouvellement ou de majoration qui renchérissent le coût réel. La méthode du coût total est identique : regarder le TER équivalent, pas seulement le tarif d'entrée.</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spacing w:after="60" w:before="60"/>
      </w:pPr>
      <w:r>
        <w:rPr>
          <w:rFonts w:ascii="Times New Roman" w:cs="Times New Roman" w:eastAsia="Times New Roman" w:hAnsi="Times New Roman"/>
          <w:b w:val="false"/>
          <w:bCs w:val="false"/>
          <w:i w:val="false"/>
          <w:iCs w:val="false"/>
          <w:color w:val="1F2937"/>
          <w:sz w:val="22"/>
          <w:szCs w:val="22"/>
        </w:rPr>
        <w:t xml:space="preserve">Sources consultées et vérifiées lors de cette leçon (août 2026)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AMF — Autorité des Marchés Financiers (régulateur officiel) :</w:t>
      </w:r>
    </w:p>
    <w:p>
      <w:pPr>
        <w:pStyle w:val="ListParagraph"/>
        <w:numPr>
          <w:ilvl w:val="0"/>
          <w:numId w:val="1"/>
        </w:numPr>
        <w:spacing w:after="40" w:before="40"/>
      </w:pPr>
      <w:hyperlink w:history="1" r:id="rIdqacppslaylrdwbyor6nx1">
        <w:r>
          <w:rPr>
            <w:rFonts w:ascii="Times New Roman" w:cs="Times New Roman" w:eastAsia="Times New Roman" w:hAnsi="Times New Roman"/>
            <w:color w:val="1155CC"/>
            <w:sz w:val="22"/>
            <w:szCs w:val="22"/>
            <w:u w:val="single"/>
          </w:rPr>
          <w:t xml:space="preserve">AMF — Simulateur : quel est l'impact des frais sur mon placement ?</w:t>
        </w:r>
      </w:hyperlink>
    </w:p>
    <w:p>
      <w:pPr>
        <w:pStyle w:val="ListParagraph"/>
        <w:numPr>
          <w:ilvl w:val="0"/>
          <w:numId w:val="1"/>
        </w:numPr>
        <w:spacing w:after="40" w:before="40"/>
      </w:pPr>
      <w:hyperlink w:history="1" r:id="rIdlgdzvwei_5ozrtebmebmi">
        <w:r>
          <w:rPr>
            <w:rFonts w:ascii="Times New Roman" w:cs="Times New Roman" w:eastAsia="Times New Roman" w:hAnsi="Times New Roman"/>
            <w:color w:val="1155CC"/>
            <w:sz w:val="22"/>
            <w:szCs w:val="22"/>
            <w:u w:val="single"/>
          </w:rPr>
          <w:t xml:space="preserve">AMF — Espace Épargnants (guides, lexique, alertes)</w:t>
        </w:r>
      </w:hyperlink>
    </w:p>
    <w:p>
      <w:pPr>
        <w:pStyle w:val="ListParagraph"/>
        <w:numPr>
          <w:ilvl w:val="0"/>
          <w:numId w:val="1"/>
        </w:numPr>
        <w:spacing w:after="40" w:before="40"/>
      </w:pPr>
      <w:hyperlink w:history="1" r:id="rIdutjtckkwddsjg4ha2yrjr">
        <w:r>
          <w:rPr>
            <w:rFonts w:ascii="Times New Roman" w:cs="Times New Roman" w:eastAsia="Times New Roman" w:hAnsi="Times New Roman"/>
            <w:color w:val="1155CC"/>
            <w:sz w:val="22"/>
            <w:szCs w:val="22"/>
            <w:u w:val="single"/>
          </w:rPr>
          <w:t xml:space="preserve">AMF — Guide pédagogique : Les frais liés à vos investissements financiers (PDF)</w:t>
        </w:r>
      </w:hyperlink>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La finance pour tous — IEFP (Institut pour l'Éducation Financière du Public) :</w:t>
      </w:r>
    </w:p>
    <w:p>
      <w:pPr>
        <w:pStyle w:val="ListParagraph"/>
        <w:numPr>
          <w:ilvl w:val="0"/>
          <w:numId w:val="1"/>
        </w:numPr>
        <w:spacing w:after="40" w:before="40"/>
      </w:pPr>
      <w:hyperlink w:history="1" r:id="rIdgpzhngip6ocyueer9idme">
        <w:r>
          <w:rPr>
            <w:rFonts w:ascii="Times New Roman" w:cs="Times New Roman" w:eastAsia="Times New Roman" w:hAnsi="Times New Roman"/>
            <w:color w:val="1155CC"/>
            <w:sz w:val="22"/>
            <w:szCs w:val="22"/>
            <w:u w:val="single"/>
          </w:rPr>
          <w:t xml:space="preserve">Trois critères pour choisir une SICAV ou un FCP : performances, frais et volatilité</w:t>
        </w:r>
      </w:hyperlink>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ABE Infoservice (AMF / ACPR — service officiel d'information) :</w:t>
      </w:r>
    </w:p>
    <w:p>
      <w:pPr>
        <w:spacing w:after="60" w:before="60"/>
      </w:pPr>
      <w:r>
        <w:rPr>
          <w:rFonts w:ascii="Times New Roman" w:cs="Times New Roman" w:eastAsia="Times New Roman" w:hAnsi="Times New Roman"/>
          <w:b w:val="false"/>
          <w:bCs w:val="false"/>
          <w:i/>
          <w:iCs/>
          <w:color w:val="1F2937"/>
          <w:sz w:val="22"/>
          <w:szCs w:val="22"/>
        </w:rPr>
        <w:t xml:space="preserve">⛔ Quels sont les frais lorsque j'investis dans des placements financiers ? — Page existante mais accès bloqué lors de cette exécution (403). URL de référence : https://www.abe-infoservice.fr/fr/epargne/se-preparer-epargner/quels-sont-les-frais-lorsque-jinvestis-dans-des-placements-financiers</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Pour aller plus loin avec un professionnel agréé</w:t>
      </w:r>
    </w:p>
    <w:p>
      <w:pPr>
        <w:spacing w:after="60" w:before="60"/>
      </w:pPr>
      <w:r>
        <w:rPr>
          <w:rFonts w:ascii="Times New Roman" w:cs="Times New Roman" w:eastAsia="Times New Roman" w:hAnsi="Times New Roman"/>
          <w:b w:val="false"/>
          <w:bCs w:val="false"/>
          <w:i w:val="false"/>
          <w:iCs w:val="false"/>
          <w:color w:val="1F2937"/>
          <w:sz w:val="22"/>
          <w:szCs w:val="22"/>
        </w:rPr>
        <w:t xml:space="preserve">Trois questions concrètes à soumettre à ton CGP ou CIF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1. « Pouvez-vous m'établir un récapitulatif du coût total annuel de chaque placement que vous me conseillez, en incluant frais de contrat, TER du support ET votre rémunération (honoraires ou rétrocessions) ?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2. « Pour mes supports en unités de compte, existe-t-il des ETF indiciels éligibles dans mon contrat qui offriraient un profil risque comparable à un coût de 0,20–0,40 % / an au lieu de 1,5–2,5 % ?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3. « À l'approche de mon horizon (7–8 ans), dans quelle mesure les frais de sortie ou de rachat pourraient-ils affecter mon capital au moment de la mobilisation ? »</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Prochaine leçon — Leçon n°10</w:t>
      </w:r>
    </w:p>
    <w:p>
      <w:pPr>
        <w:spacing w:after="60" w:before="60"/>
      </w:pPr>
      <w:r>
        <w:rPr>
          <w:rFonts w:ascii="Times New Roman" w:cs="Times New Roman" w:eastAsia="Times New Roman" w:hAnsi="Times New Roman"/>
          <w:b w:val="false"/>
          <w:bCs w:val="false"/>
          <w:i/>
          <w:iCs/>
          <w:color w:val="1F2937"/>
          <w:sz w:val="22"/>
          <w:szCs w:val="22"/>
        </w:rPr>
        <w:t xml:space="preserve">Thème : Fiscalité de l'épargne et des plus-values — prélèvement forfaitaire unique (PFU/flat tax), abattements, prélèvements sociaux (taux en vigueur), et comment s'appliquent ces règles selon l'enveloppe (assurance-vie, PEA, compte-titres, PER).</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hd w:fill="F3F4F6" w:val="clear"/>
        <w:spacing w:after="120" w:before="120"/>
        <w:ind w:left="431" w:right="431"/>
      </w:pPr>
      <w:r>
        <w:rPr>
          <w:rFonts w:ascii="Times New Roman" w:cs="Times New Roman" w:eastAsia="Times New Roman" w:hAnsi="Times New Roman"/>
          <w:color w:val="1F2937"/>
          <w:sz w:val="22"/>
          <w:szCs w:val="22"/>
        </w:rPr>
        <w:br/>
        <w:t xml:space="preserve">Rappel déontologique final : rien dans cette leçon ne constitue un conseil en investissement personnalisé.</w:t>
      </w:r>
      <w:r>
        <w:rPr>
          <w:rFonts w:ascii="Times New Roman" w:cs="Times New Roman" w:eastAsia="Times New Roman" w:hAnsi="Times New Roman"/>
          <w:color w:val="1F2937"/>
          <w:sz w:val="22"/>
          <w:szCs w:val="22"/>
        </w:rPr>
        <w:br/>
        <w:t xml:space="preserve">Pour toute décision d'allocation, consulte un conseiller en gestion de patrimoine (CGP) ou un conseiller en investissements financiers (CIF) agréé par l'AMF.</w:t>
      </w:r>
      <w:r>
        <w:rPr>
          <w:rFonts w:ascii="Times New Roman" w:cs="Times New Roman" w:eastAsia="Times New Roman" w:hAnsi="Times New Roman"/>
          <w:color w:val="1F2937"/>
          <w:sz w:val="22"/>
          <w:szCs w:val="22"/>
        </w:rPr>
        <w:br/>
        <w:t xml:space="preserve">Tout placement comporte un risque de perte en capital.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acppslaylrdwbyor6nx1" Type="http://schemas.openxmlformats.org/officeDocument/2006/relationships/hyperlink" Target="https://www.amf-france.org/fr/espace-epargnants/lexique-simulateurs-et-outils-pratiques/nos-simulateurs/quel-est-limpact-des-frais-sur-le-rendement-annuel-espere-de-mon-placement" TargetMode="External"/><Relationship Id="rIdlgdzvwei_5ozrtebmebmi" Type="http://schemas.openxmlformats.org/officeDocument/2006/relationships/hyperlink" Target="https://www.amf-france.org/fr/espace-epargnants" TargetMode="External"/><Relationship Id="rIdutjtckkwddsjg4ha2yrjr" Type="http://schemas.openxmlformats.org/officeDocument/2006/relationships/hyperlink" Target="https://www.amf-france.org/sites/institutionnel/files/contenu_simple/guide/guide_pedagogique/S&apos;informer%20sur%20%20Les%20frais%20lies%20a%20vos%20investissements%20financiers.pdf" TargetMode="External"/><Relationship Id="rIdgpzhngip6ocyueer9idme" Type="http://schemas.openxmlformats.org/officeDocument/2006/relationships/hyperlink" Target="https://www.lafinancepourtous.com/pratique/placements/produits-de-gestion-collective-opc/trois-criteres-pour-choisir-une-sicav-ou-un-fcp-les-performances-les-frais-et-la-volatilit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2026-08-08T06:08:08.495Z</dcterms:created>
  <dcterms:modified xsi:type="dcterms:W3CDTF">2026-08-08T06:08:08.496Z</dcterms:modified>
</cp:coreProperties>
</file>

<file path=docProps/custom.xml><?xml version="1.0" encoding="utf-8"?>
<Properties xmlns="http://schemas.openxmlformats.org/officeDocument/2006/custom-properties" xmlns:vt="http://schemas.openxmlformats.org/officeDocument/2006/docPropsVTypes"/>
</file>