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00"/>
        <w:jc w:val="center"/>
      </w:pPr>
      <w:r>
        <w:rPr>
          <w:rFonts w:ascii="Times New Roman" w:cs="Times New Roman" w:eastAsia="Times New Roman" w:hAnsi="Times New Roman"/>
          <w:b/>
          <w:bCs/>
          <w:color w:val="1B3A6B"/>
          <w:sz w:val="52"/>
          <w:szCs w:val="52"/>
        </w:rPr>
        <w:t xml:space="preserve">Leçon Hypnose &amp; auto-hypnose n°18</w:t>
      </w:r>
    </w:p>
    <w:p>
      <w:pPr>
        <w:spacing w:after="200" w:before="200"/>
        <w:jc w:val="center"/>
      </w:pPr>
      <w:r>
        <w:rPr>
          <w:rFonts w:ascii="Times New Roman" w:cs="Times New Roman" w:eastAsia="Times New Roman" w:hAnsi="Times New Roman"/>
          <w:b/>
          <w:bCs/>
          <w:color w:val="1B3A6B"/>
          <w:sz w:val="52"/>
          <w:szCs w:val="52"/>
        </w:rPr>
        <w:t xml:space="preserve">Ce que les neurosciences établissent — et ce qu'elles n'établissent pas</w:t>
      </w:r>
    </w:p>
    <w:p>
      <w:pPr>
        <w:spacing w:after="40" w:before="60"/>
        <w:jc w:val="center"/>
      </w:pPr>
      <w:r>
        <w:rPr>
          <w:rFonts w:ascii="Times New Roman" w:cs="Times New Roman" w:eastAsia="Times New Roman" w:hAnsi="Times New Roman"/>
          <w:color w:val="1F2937"/>
          <w:sz w:val="22"/>
          <w:szCs w:val="22"/>
        </w:rPr>
        <w:t xml:space="preserve">Date : 13 octobre 2026</w:t>
      </w:r>
    </w:p>
    <w:p>
      <w:pPr>
        <w:spacing w:after="200" w:before="40"/>
        <w:jc w:val="center"/>
      </w:pPr>
      <w:r>
        <w:rPr>
          <w:rFonts w:ascii="Times New Roman" w:cs="Times New Roman" w:eastAsia="Times New Roman" w:hAnsi="Times New Roman"/>
          <w:b/>
          <w:bCs/>
          <w:color w:val="1B3A6B"/>
          <w:sz w:val="22"/>
          <w:szCs w:val="22"/>
        </w:rPr>
        <w:t xml:space="preserve">Leçon 18 / 20</w:t>
      </w:r>
    </w:p>
    <w:p>
      <w:pPr>
        <w:spacing w:after="120" w:before="300"/>
      </w:pPr>
      <w:r>
        <w:rPr>
          <w:rFonts w:ascii="Times New Roman" w:cs="Times New Roman" w:eastAsia="Times New Roman" w:hAnsi="Times New Roman"/>
          <w:b/>
          <w:bCs/>
          <w:color w:val="1B3A6B"/>
          <w:sz w:val="30"/>
          <w:szCs w:val="30"/>
        </w:rPr>
        <w:t xml:space="preserve">🎯 Objectif &amp; continuité</w:t>
      </w:r>
    </w:p>
    <w:p>
      <w:pPr>
        <w:spacing w:after="80" w:before="80"/>
        <w:ind/>
      </w:pPr>
      <w:r>
        <w:rPr>
          <w:rFonts w:ascii="Times New Roman" w:cs="Times New Roman" w:eastAsia="Times New Roman" w:hAnsi="Times New Roman"/>
          <w:b w:val="false"/>
          <w:bCs w:val="false"/>
          <w:i w:val="false"/>
          <w:iCs w:val="false"/>
          <w:color w:val="1F2937"/>
          <w:sz w:val="22"/>
          <w:szCs w:val="22"/>
        </w:rPr>
        <w:t xml:space="preserve">À l'issue de cette leçon, tu sauras distinguer ce que les neurosciences ont réellement mesuré à propos de l'hypnose de ce qu'elles laissent encore ouvert ou débattu. Tu pourras ainsi ancrer ta pratique d'auto-hypnose sur une lecture lucide de la littérature scientifique, sans illusions excessives ni scepticisme injustifié.</w:t>
      </w:r>
    </w:p>
    <w:p>
      <w:pPr>
        <w:spacing w:after="80" w:before="80"/>
        <w:ind/>
      </w:pPr>
      <w:r>
        <w:rPr>
          <w:rFonts w:ascii="Times New Roman" w:cs="Times New Roman" w:eastAsia="Times New Roman" w:hAnsi="Times New Roman"/>
          <w:b w:val="false"/>
          <w:bCs w:val="false"/>
          <w:i w:val="false"/>
          <w:iCs w:val="false"/>
          <w:color w:val="1F2937"/>
          <w:sz w:val="22"/>
          <w:szCs w:val="22"/>
        </w:rPr>
        <w:t xml:space="preserve">Continuité : la leçon 17 t'a alerté sur les contre-indications et les publics à risque. Cette leçon 18 prolonge cette rigueur en t'offrant la carte du territoire neuroscientifique — une ressource essentielle pour évaluer avec discernement les affirmations que tu rencontreras sur l'hypnose.</w:t>
      </w:r>
    </w:p>
    <w:p>
      <w:pPr>
        <w:pBdr>
          <w:bottom w:val="single" w:color="CCCCCC" w:sz="4"/>
        </w:pBdr>
        <w:spacing w:after="160" w:before="160"/>
      </w:pPr>
      <w:r>
        <w:t xml:space="preserve"/>
      </w:r>
    </w:p>
    <w:p>
      <w:pPr>
        <w:spacing w:after="120" w:before="300"/>
      </w:pPr>
      <w:r>
        <w:rPr>
          <w:rFonts w:ascii="Times New Roman" w:cs="Times New Roman" w:eastAsia="Times New Roman" w:hAnsi="Times New Roman"/>
          <w:b/>
          <w:bCs/>
          <w:color w:val="1B3A6B"/>
          <w:sz w:val="30"/>
          <w:szCs w:val="30"/>
        </w:rPr>
        <w:t xml:space="preserve">⚠️ Cadre &amp; sécurité</w:t>
      </w:r>
    </w:p>
    <w:p>
      <w:pPr>
        <w:pBdr>
          <w:top w:val="single" w:color="1B3A6B" w:sz="4"/>
          <w:left w:val="single" w:color="1B3A6B" w:sz="6"/>
          <w:bottom w:val="single" w:color="1B3A6B" w:sz="4"/>
          <w:right w:val="single" w:color="1B3A6B" w:sz="4"/>
        </w:pBdr>
        <w:shd w:fill="F3F4F6" w:val="clear"/>
        <w:spacing w:after="120" w:before="120"/>
        <w:ind w:left="288" w:right="288"/>
      </w:pPr>
      <w:r>
        <w:rPr>
          <w:rFonts w:ascii="Times New Roman" w:cs="Times New Roman" w:eastAsia="Times New Roman" w:hAnsi="Times New Roman"/>
          <w:color w:val="1F2937"/>
          <w:sz w:val="22"/>
          <w:szCs w:val="22"/>
        </w:rPr>
        <w:t xml:space="preserve">Ces leçons visent ton développement personnel par l'auto-hypnose — pas une formation thérapeutique.</w:t>
      </w:r>
      <w:r>
        <w:br/>
      </w:r>
      <w:r>
        <w:rPr>
          <w:rFonts w:ascii="Times New Roman" w:cs="Times New Roman" w:eastAsia="Times New Roman" w:hAnsi="Times New Roman"/>
          <w:color w:val="1F2937"/>
          <w:sz w:val="22"/>
          <w:szCs w:val="22"/>
        </w:rPr>
        <w:t xml:space="preserve">La compréhension des mécanismes neuroscientifiques ne confère aucune qualification pour pratiquer</w:t>
      </w:r>
      <w:r>
        <w:br/>
      </w:r>
      <w:r>
        <w:rPr>
          <w:rFonts w:ascii="Times New Roman" w:cs="Times New Roman" w:eastAsia="Times New Roman" w:hAnsi="Times New Roman"/>
          <w:color w:val="1F2937"/>
          <w:sz w:val="22"/>
          <w:szCs w:val="22"/>
        </w:rPr>
        <w:t xml:space="preserve">l'hypnose sur autrui, en particulier sur des personnes vulnérables ou en situation de handicap.</w:t>
      </w:r>
      <w:r>
        <w:br/>
      </w:r>
      <w:r>
        <w:rPr>
          <w:rFonts w:ascii="Times New Roman" w:cs="Times New Roman" w:eastAsia="Times New Roman" w:hAnsi="Times New Roman"/>
          <w:color w:val="1F2937"/>
          <w:sz w:val="22"/>
          <w:szCs w:val="22"/>
        </w:rPr>
        <w:t xml:space="preserve">Contre-indication spécifique à ce thème : les techniques d'imagerie cérébrale évoquées sont des outils</w:t>
      </w:r>
      <w:r>
        <w:br/>
      </w:r>
      <w:r>
        <w:rPr>
          <w:rFonts w:ascii="Times New Roman" w:cs="Times New Roman" w:eastAsia="Times New Roman" w:hAnsi="Times New Roman"/>
          <w:color w:val="1F2937"/>
          <w:sz w:val="22"/>
          <w:szCs w:val="22"/>
        </w:rPr>
        <w:t xml:space="preserve">de recherche — elles n'ont pas de lien avec la pratique de l'hypnose en séance individuelle.</w:t>
      </w:r>
    </w:p>
    <w:p>
      <w:pPr>
        <w:pBdr>
          <w:bottom w:val="single" w:color="CCCCCC" w:sz="4"/>
        </w:pBdr>
        <w:spacing w:after="160" w:before="160"/>
      </w:pPr>
      <w:r>
        <w:t xml:space="preserve"/>
      </w:r>
    </w:p>
    <w:p>
      <w:pPr>
        <w:spacing w:after="120" w:before="300"/>
      </w:pPr>
      <w:r>
        <w:rPr>
          <w:rFonts w:ascii="Times New Roman" w:cs="Times New Roman" w:eastAsia="Times New Roman" w:hAnsi="Times New Roman"/>
          <w:b/>
          <w:bCs/>
          <w:color w:val="1B3A6B"/>
          <w:sz w:val="30"/>
          <w:szCs w:val="30"/>
        </w:rPr>
        <w:t xml:space="preserve">🔬 Théorie (20 %) — Cartographier ce que l'on sait et ce qu'on ignore</w:t>
      </w:r>
    </w:p>
    <w:p>
      <w:pPr>
        <w:spacing w:after="80" w:before="80"/>
        <w:ind/>
      </w:pPr>
      <w:r>
        <w:rPr>
          <w:rFonts w:ascii="Times New Roman" w:cs="Times New Roman" w:eastAsia="Times New Roman" w:hAnsi="Times New Roman"/>
          <w:b w:val="false"/>
          <w:bCs w:val="false"/>
          <w:i w:val="false"/>
          <w:iCs w:val="false"/>
          <w:color w:val="1F2937"/>
          <w:sz w:val="22"/>
          <w:szCs w:val="22"/>
        </w:rPr>
        <w:t xml:space="preserve">Le rapport entre neurosciences et hypnose est un exemple particulièrement instructif de ce que signifie « être evidence-based » dans un domaine en plein développement. La recherche avance vite, mais les résultats restent souvent fragmentaires, difficiles à reproduire ou réservés à des populations spécifiques.</w:t>
      </w:r>
    </w:p>
    <w:p>
      <w:pPr>
        <w:spacing w:after="80" w:before="200"/>
      </w:pPr>
      <w:r>
        <w:rPr>
          <w:rFonts w:ascii="Times New Roman" w:cs="Times New Roman" w:eastAsia="Times New Roman" w:hAnsi="Times New Roman"/>
          <w:b/>
          <w:bCs/>
          <w:color w:val="1F2937"/>
          <w:sz w:val="26"/>
          <w:szCs w:val="26"/>
        </w:rPr>
        <w:t xml:space="preserve">1. Ce que les neurosciences établissent</w:t>
      </w:r>
    </w:p>
    <w:p>
      <w:pPr>
        <w:spacing w:after="80" w:before="80"/>
      </w:pPr>
      <w:r>
        <w:rPr>
          <w:rFonts w:ascii="Times New Roman" w:cs="Times New Roman" w:eastAsia="Times New Roman" w:hAnsi="Times New Roman"/>
          <w:b/>
          <w:bCs/>
          <w:color w:val="1F2937"/>
          <w:sz w:val="22"/>
          <w:szCs w:val="22"/>
        </w:rPr>
        <w:t xml:space="preserve">a) Des modifications cérébrales mesurables. </w:t>
      </w:r>
      <w:r>
        <w:rPr>
          <w:rFonts w:ascii="Times New Roman" w:cs="Times New Roman" w:eastAsia="Times New Roman" w:hAnsi="Times New Roman"/>
          <w:color w:val="1F2937"/>
          <w:sz w:val="22"/>
          <w:szCs w:val="22"/>
        </w:rPr>
        <w:t xml:space="preserve">L'imagerie fonctionnelle (IRMf) et l'électroencéphalographie (EEG) ont montré que l'état hypnotique produit des changements cérébraux qui dépassent le simple effet de la relaxation ou de la concentration ordinaire.</w:t>
      </w:r>
    </w:p>
    <w:p>
      <w:pPr>
        <w:pStyle w:val="ListParagraph"/>
        <w:numPr>
          <w:ilvl w:val="0"/>
          <w:numId w:val="1"/>
        </w:numPr>
        <w:spacing w:after="60" w:before="60"/>
        <w:ind w:left="431" w:hanging="215"/>
      </w:pPr>
      <w:r>
        <w:rPr>
          <w:rFonts w:ascii="Times New Roman" w:cs="Times New Roman" w:eastAsia="Times New Roman" w:hAnsi="Times New Roman"/>
          <w:color w:val="1F2937"/>
          <w:sz w:val="22"/>
          <w:szCs w:val="22"/>
        </w:rPr>
        <w:t xml:space="preserve">EEG : l'hypnose légère à modérée s'accompagne d'une activité alpha accrue, associée à un état de vigilance détendue. Les protocoles d'hypnose focalisée (centrés sur une tâche) génèrent une activité thêta, caractéristique de l'absorption mentale profonde.</w:t>
      </w:r>
    </w:p>
    <w:p>
      <w:pPr>
        <w:pStyle w:val="ListParagraph"/>
        <w:numPr>
          <w:ilvl w:val="0"/>
          <w:numId w:val="1"/>
        </w:numPr>
        <w:spacing w:after="60" w:before="60"/>
        <w:ind w:left="431" w:hanging="215"/>
      </w:pPr>
      <w:r>
        <w:rPr>
          <w:rFonts w:ascii="Times New Roman" w:cs="Times New Roman" w:eastAsia="Times New Roman" w:hAnsi="Times New Roman"/>
          <w:color w:val="1F2937"/>
          <w:sz w:val="22"/>
          <w:szCs w:val="22"/>
        </w:rPr>
        <w:t xml:space="preserve">IRMf : les personnes à haute hypnotisabilité présentent une activation plus forte du cortex cingulaire antérieur (impliqué dans l'attention, la régulation émotionnelle et la détection d'erreurs) et du cortex préfrontal gauche lors de tâches effectuées sous hypnose, comparées aux faibles répondeurs.</w:t>
      </w:r>
    </w:p>
    <w:p>
      <w:pPr>
        <w:pStyle w:val="ListParagraph"/>
        <w:numPr>
          <w:ilvl w:val="0"/>
          <w:numId w:val="1"/>
        </w:numPr>
        <w:spacing w:after="60" w:before="60"/>
        <w:ind w:left="431" w:hanging="215"/>
      </w:pPr>
      <w:r>
        <w:rPr>
          <w:rFonts w:ascii="Times New Roman" w:cs="Times New Roman" w:eastAsia="Times New Roman" w:hAnsi="Times New Roman"/>
          <w:color w:val="1F2937"/>
          <w:sz w:val="22"/>
          <w:szCs w:val="22"/>
        </w:rPr>
        <w:t xml:space="preserve">Hallucinations visuelles induites par suggestion : les suggestions d'hallucination de couleur activent les régions occipitales de traitement des couleurs — les mêmes régions recrutées lors de la perception visuelle réelle — en distinguant les hauts hypnotisables des faibles.</w:t>
      </w:r>
    </w:p>
    <w:p>
      <w:pPr>
        <w:spacing w:after="80" w:before="80"/>
        <w:ind/>
      </w:pPr>
      <w:r>
        <w:rPr>
          <w:rFonts w:ascii="Times New Roman" w:cs="Times New Roman" w:eastAsia="Times New Roman" w:hAnsi="Times New Roman"/>
          <w:b w:val="false"/>
          <w:bCs w:val="false"/>
          <w:i w:val="false"/>
          <w:iCs w:val="false"/>
          <w:color w:val="1F2937"/>
          <w:sz w:val="22"/>
          <w:szCs w:val="22"/>
        </w:rPr>
        <w:t xml:space="preserve">Une étude récente menée sur 26 participants a utilisé la spectroscopie dans le proche infrarouge (fNIRS) pour évaluer la connectivité fonctionnelle dans le cortex préfrontal sous hypnose. Zhang et al. (2025, Frontiers in Psychology) rapportent des modifications de la connectivité au repos entre état éveillé ordinaire et état hypnotique, bien que ces résultats soient à confirmer sur des effectifs plus larges.</w:t>
      </w:r>
    </w:p>
    <w:p>
      <w:pPr>
        <w:spacing w:after="80" w:before="80"/>
      </w:pPr>
      <w:r>
        <w:rPr>
          <w:rFonts w:ascii="Times New Roman" w:cs="Times New Roman" w:eastAsia="Times New Roman" w:hAnsi="Times New Roman"/>
          <w:b/>
          <w:bCs/>
          <w:color w:val="1F2937"/>
          <w:sz w:val="22"/>
          <w:szCs w:val="22"/>
        </w:rPr>
        <w:t xml:space="preserve">b) L'hypnotisabilité a des corrélats cérébraux. </w:t>
      </w:r>
      <w:r>
        <w:rPr>
          <w:rFonts w:ascii="Times New Roman" w:cs="Times New Roman" w:eastAsia="Times New Roman" w:hAnsi="Times New Roman"/>
          <w:color w:val="1F2937"/>
          <w:sz w:val="22"/>
          <w:szCs w:val="22"/>
        </w:rPr>
        <w:t xml:space="preserve">L'hypnotisabilité n'est pas qu'une disposition psychologique : des différences neurologiques structurelles et fonctionnelles ont été identifiées entre les forts et les faibles répondeurs.</w:t>
      </w:r>
    </w:p>
    <w:p>
      <w:pPr>
        <w:pStyle w:val="ListParagraph"/>
        <w:numPr>
          <w:ilvl w:val="0"/>
          <w:numId w:val="1"/>
        </w:numPr>
        <w:spacing w:after="60" w:before="60"/>
        <w:ind w:left="431" w:hanging="215"/>
      </w:pPr>
      <w:r>
        <w:rPr>
          <w:rFonts w:ascii="Times New Roman" w:cs="Times New Roman" w:eastAsia="Times New Roman" w:hAnsi="Times New Roman"/>
          <w:color w:val="1F2937"/>
          <w:sz w:val="22"/>
          <w:szCs w:val="22"/>
        </w:rPr>
        <w:t xml:space="preserve">Des recherches indiquent une co-activation accrue entre la région du cortex préfrontal impliquée dans le contrôle exécutif et des zones impliquées dans la détection de la saillance, chez les personnes à haute hypnotisabilité — une connectivité qui permettrait à l'attention de se concentrer facilement et aux suggestions d'atteindre le niveau perceptif.</w:t>
      </w:r>
    </w:p>
    <w:p>
      <w:pPr>
        <w:pStyle w:val="ListParagraph"/>
        <w:numPr>
          <w:ilvl w:val="0"/>
          <w:numId w:val="1"/>
        </w:numPr>
        <w:spacing w:after="60" w:before="60"/>
        <w:ind w:left="431" w:hanging="215"/>
      </w:pPr>
      <w:r>
        <w:rPr>
          <w:rFonts w:ascii="Times New Roman" w:cs="Times New Roman" w:eastAsia="Times New Roman" w:hAnsi="Times New Roman"/>
          <w:color w:val="1F2937"/>
          <w:sz w:val="22"/>
          <w:szCs w:val="22"/>
        </w:rPr>
        <w:t xml:space="preserve">Chen et al. (2026, Psychoradiology) rapportent que les niveaux de suggestibilité — une composante clé de l'hypnotisabilité — s'associent à des patterns spécifiques de connectivité fonctionnelle neurale intrinsèque, impliquant notamment la mémoire de travail et les processus décisionnels.</w:t>
      </w:r>
    </w:p>
    <w:p>
      <w:pPr>
        <w:spacing w:after="80" w:before="80"/>
      </w:pPr>
      <w:r>
        <w:rPr>
          <w:rFonts w:ascii="Times New Roman" w:cs="Times New Roman" w:eastAsia="Times New Roman" w:hAnsi="Times New Roman"/>
          <w:b/>
          <w:bCs/>
          <w:color w:val="1F2937"/>
          <w:sz w:val="22"/>
          <w:szCs w:val="22"/>
        </w:rPr>
        <w:t xml:space="preserve">c) La reconfiguration des grands réseaux cérébraux. </w:t>
      </w:r>
      <w:r>
        <w:rPr>
          <w:rFonts w:ascii="Times New Roman" w:cs="Times New Roman" w:eastAsia="Times New Roman" w:hAnsi="Times New Roman"/>
          <w:color w:val="1F2937"/>
          <w:sz w:val="22"/>
          <w:szCs w:val="22"/>
        </w:rPr>
        <w:t xml:space="preserve">L'hypnose n'est pas localisée dans une région cérébrale : elle implique la coordination de plusieurs réseaux à grande échelle.</w:t>
      </w:r>
    </w:p>
    <w:p>
      <w:pPr>
        <w:pStyle w:val="ListParagraph"/>
        <w:numPr>
          <w:ilvl w:val="0"/>
          <w:numId w:val="1"/>
        </w:numPr>
        <w:spacing w:after="60" w:before="60"/>
        <w:ind w:left="431" w:hanging="215"/>
      </w:pPr>
      <w:r>
        <w:rPr>
          <w:rFonts w:ascii="Times New Roman" w:cs="Times New Roman" w:eastAsia="Times New Roman" w:hAnsi="Times New Roman"/>
          <w:color w:val="1F2937"/>
          <w:sz w:val="22"/>
          <w:szCs w:val="22"/>
        </w:rPr>
        <w:t xml:space="preserve">Le réseau en mode par défaut (Default Mode Network, DMN), actif lors des pensées auto-référentielles et de la rumination, est modulé par l'induction hypnotique — ce qui peut expliquer la réduction du sentiment d'agentivité et la modification du traitement de soi.</w:t>
      </w:r>
    </w:p>
    <w:p>
      <w:pPr>
        <w:pStyle w:val="ListParagraph"/>
        <w:numPr>
          <w:ilvl w:val="0"/>
          <w:numId w:val="1"/>
        </w:numPr>
        <w:spacing w:after="60" w:before="60"/>
        <w:ind w:left="431" w:hanging="215"/>
      </w:pPr>
      <w:r>
        <w:rPr>
          <w:rFonts w:ascii="Times New Roman" w:cs="Times New Roman" w:eastAsia="Times New Roman" w:hAnsi="Times New Roman"/>
          <w:color w:val="1F2937"/>
          <w:sz w:val="22"/>
          <w:szCs w:val="22"/>
        </w:rPr>
        <w:t xml:space="preserve">Le réseau de contrôle exécutif (ECN) et le réseau de saillance (SaN) participent aussi à cette reconfiguration. Gallardo &amp; Chetri (2026, Behavioral Sciences) proposent, dans une revue intégrative, un modèle selon lequel l'induction hypnotique produirait une plasticité expérientielle accrue via la coordination de ces trois réseaux, facilitant la régulation émotionnelle et réduisant la fragmentation dissociative.</w:t>
      </w:r>
    </w:p>
    <w:p>
      <w:pPr>
        <w:spacing w:after="80" w:before="80"/>
      </w:pPr>
      <w:r>
        <w:rPr>
          <w:rFonts w:ascii="Times New Roman" w:cs="Times New Roman" w:eastAsia="Times New Roman" w:hAnsi="Times New Roman"/>
          <w:b/>
          <w:bCs/>
          <w:color w:val="1F2937"/>
          <w:sz w:val="22"/>
          <w:szCs w:val="22"/>
        </w:rPr>
        <w:t xml:space="preserve">d) L'hypoalgésie hypnotique est mesurable. </w:t>
      </w:r>
      <w:r>
        <w:rPr>
          <w:rFonts w:ascii="Times New Roman" w:cs="Times New Roman" w:eastAsia="Times New Roman" w:hAnsi="Times New Roman"/>
          <w:color w:val="1F2937"/>
          <w:sz w:val="22"/>
          <w:szCs w:val="22"/>
        </w:rPr>
        <w:t xml:space="preserve">L'un des effets hypnotiques les mieux documentés sur le plan neurophysiologique est la réduction de la douleur.</w:t>
      </w:r>
    </w:p>
    <w:p>
      <w:pPr>
        <w:pStyle w:val="ListParagraph"/>
        <w:numPr>
          <w:ilvl w:val="0"/>
          <w:numId w:val="1"/>
        </w:numPr>
        <w:spacing w:after="60" w:before="60"/>
        <w:ind w:left="431" w:hanging="215"/>
      </w:pPr>
      <w:r>
        <w:rPr>
          <w:rFonts w:ascii="Times New Roman" w:cs="Times New Roman" w:eastAsia="Times New Roman" w:hAnsi="Times New Roman"/>
          <w:color w:val="1F2937"/>
          <w:sz w:val="22"/>
          <w:szCs w:val="22"/>
        </w:rPr>
        <w:t xml:space="preserve">De Pascalis (2026, Brain Sciences) explore, dans une revue EEG, comment les suggestions hypnotiques d'analgésie s'accompagnent de changements coordonnés dans plusieurs bandes de fréquences : thêta (attention interne et maintien de la suggestion), alpha (inhibition sensorielle), bêta et gamma (modulation cognitive et motrice de la douleur). Ce travail propose d'interpréter ces résultats à travers le cadre du predictive coding — la douleur hypnotique serait modulée par des prédictions top-down qui réduisent la signification perçue des signaux nociceptifs.</w:t>
      </w:r>
    </w:p>
    <w:p>
      <w:pPr>
        <w:spacing w:after="80" w:before="200"/>
      </w:pPr>
      <w:r>
        <w:rPr>
          <w:rFonts w:ascii="Times New Roman" w:cs="Times New Roman" w:eastAsia="Times New Roman" w:hAnsi="Times New Roman"/>
          <w:b/>
          <w:bCs/>
          <w:color w:val="1F2937"/>
          <w:sz w:val="26"/>
          <w:szCs w:val="26"/>
        </w:rPr>
        <w:t xml:space="preserve">2. Ce que les neurosciences n'établissent pas (encore)</w:t>
      </w:r>
    </w:p>
    <w:p>
      <w:pPr>
        <w:spacing w:after="80" w:before="80"/>
        <w:ind/>
      </w:pPr>
      <w:r>
        <w:rPr>
          <w:rFonts w:ascii="Times New Roman" w:cs="Times New Roman" w:eastAsia="Times New Roman" w:hAnsi="Times New Roman"/>
          <w:b w:val="false"/>
          <w:bCs w:val="false"/>
          <w:i w:val="false"/>
          <w:iCs w:val="false"/>
          <w:color w:val="1F2937"/>
          <w:sz w:val="22"/>
          <w:szCs w:val="22"/>
        </w:rPr>
        <w:t xml:space="preserve">La liste suivante n'est pas une liste de lacunes conjoncturelles : ce sont des débats actifs et structurants du champ, qui justifient une posture de prudence intellectuelle.</w:t>
      </w:r>
    </w:p>
    <w:p>
      <w:pPr>
        <w:spacing w:after="60" w:before="60"/>
        <w:ind w:left="431" w:hanging="288"/>
      </w:pPr>
      <w:r>
        <w:rPr>
          <w:rFonts w:ascii="Times New Roman" w:cs="Times New Roman" w:eastAsia="Times New Roman" w:hAnsi="Times New Roman"/>
          <w:b/>
          <w:bCs/>
          <w:color w:val="1B3A6B"/>
          <w:sz w:val="22"/>
          <w:szCs w:val="22"/>
        </w:rPr>
        <w:t xml:space="preserve">1. </w:t>
      </w:r>
      <w:r>
        <w:rPr>
          <w:rFonts w:ascii="Times New Roman" w:cs="Times New Roman" w:eastAsia="Times New Roman" w:hAnsi="Times New Roman"/>
          <w:color w:val="1F2937"/>
          <w:sz w:val="22"/>
          <w:szCs w:val="22"/>
        </w:rPr>
        <w:t xml:space="preserve">L'hypnose n'est pas un état unitaire. Une revue de la littérature EEG concluait déjà en 2004 que les patterns cérébraux varient considérablement selon la tâche et la technique : il n'existe pas un seul profil EEG de « l'état hypnotique ». Cette hétérogénéité complique toute définition neurobiologique simple.</w:t>
      </w:r>
    </w:p>
    <w:p>
      <w:pPr>
        <w:spacing w:after="60" w:before="60"/>
        <w:ind w:left="431" w:hanging="288"/>
      </w:pPr>
      <w:r>
        <w:rPr>
          <w:rFonts w:ascii="Times New Roman" w:cs="Times New Roman" w:eastAsia="Times New Roman" w:hAnsi="Times New Roman"/>
          <w:b/>
          <w:bCs/>
          <w:color w:val="1B3A6B"/>
          <w:sz w:val="22"/>
          <w:szCs w:val="22"/>
        </w:rPr>
        <w:t xml:space="preserve">2. </w:t>
      </w:r>
      <w:r>
        <w:rPr>
          <w:rFonts w:ascii="Times New Roman" w:cs="Times New Roman" w:eastAsia="Times New Roman" w:hAnsi="Times New Roman"/>
          <w:color w:val="1F2937"/>
          <w:sz w:val="22"/>
          <w:szCs w:val="22"/>
        </w:rPr>
        <w:t xml:space="preserve">Imagination renforcée ou altération perceptive réelle ? Les modifications cérébrales observées en IRMf pourraient refléter une activation accrue des régions de l'imagination sans nécessairement indiquer une altération perceptive objective. L'interprétation reste ouverte : un sujet qui imagine intensément une couleur peut activer les mêmes régions qu'un sujet qui la perçoit — sans que les deux vécus soient équivalents.</w:t>
      </w:r>
    </w:p>
    <w:p>
      <w:pPr>
        <w:spacing w:after="60" w:before="60"/>
        <w:ind w:left="431" w:hanging="288"/>
      </w:pPr>
      <w:r>
        <w:rPr>
          <w:rFonts w:ascii="Times New Roman" w:cs="Times New Roman" w:eastAsia="Times New Roman" w:hAnsi="Times New Roman"/>
          <w:b/>
          <w:bCs/>
          <w:color w:val="1B3A6B"/>
          <w:sz w:val="22"/>
          <w:szCs w:val="22"/>
        </w:rPr>
        <w:t xml:space="preserve">3. </w:t>
      </w:r>
      <w:r>
        <w:rPr>
          <w:rFonts w:ascii="Times New Roman" w:cs="Times New Roman" w:eastAsia="Times New Roman" w:hAnsi="Times New Roman"/>
          <w:color w:val="1F2937"/>
          <w:sz w:val="22"/>
          <w:szCs w:val="22"/>
        </w:rPr>
        <w:t xml:space="preserve">Hypnose et faux souvenirs. Leo, Bruno &amp; Proietti (2025, Frontiers in Psychology) rappellent que l'hypnose peut faciliter la formation de faux souvenirs, notamment dans le cadre des techniques de régression hypnotique. Ce risque, bien documenté, constitue l'une des raisons pour lesquelles l'usage de l'hypnose dans le contexte judiciaire ou pour le rappel de souvenirs traumatiques est controversé et déconseillé sans encadrement spécialisé.</w:t>
      </w:r>
    </w:p>
    <w:p>
      <w:pPr>
        <w:spacing w:after="60" w:before="60"/>
        <w:ind w:left="431" w:hanging="288"/>
      </w:pPr>
      <w:r>
        <w:rPr>
          <w:rFonts w:ascii="Times New Roman" w:cs="Times New Roman" w:eastAsia="Times New Roman" w:hAnsi="Times New Roman"/>
          <w:b/>
          <w:bCs/>
          <w:color w:val="1B3A6B"/>
          <w:sz w:val="22"/>
          <w:szCs w:val="22"/>
        </w:rPr>
        <w:t xml:space="preserve">4. </w:t>
      </w:r>
      <w:r>
        <w:rPr>
          <w:rFonts w:ascii="Times New Roman" w:cs="Times New Roman" w:eastAsia="Times New Roman" w:hAnsi="Times New Roman"/>
          <w:color w:val="1F2937"/>
          <w:sz w:val="22"/>
          <w:szCs w:val="22"/>
        </w:rPr>
        <w:t xml:space="preserve">Pas de biomarqueur clinique prédictif. À ce jour, aucun marqueur neurobiologique fiable ne permet de prédire de façon individuelle si un patient bénéficiera d'une intervention hypnotique. L'hypnotisabilité mesurée par des échelles (SHSS, HGSHS) reste le meilleur prédicteur disponible, et il est imparfait.</w:t>
      </w:r>
    </w:p>
    <w:p>
      <w:pPr>
        <w:spacing w:after="60" w:before="60"/>
        <w:ind w:left="431" w:hanging="288"/>
      </w:pPr>
      <w:r>
        <w:rPr>
          <w:rFonts w:ascii="Times New Roman" w:cs="Times New Roman" w:eastAsia="Times New Roman" w:hAnsi="Times New Roman"/>
          <w:b/>
          <w:bCs/>
          <w:color w:val="1B3A6B"/>
          <w:sz w:val="22"/>
          <w:szCs w:val="22"/>
        </w:rPr>
        <w:t xml:space="preserve">5. </w:t>
      </w:r>
      <w:r>
        <w:rPr>
          <w:rFonts w:ascii="Times New Roman" w:cs="Times New Roman" w:eastAsia="Times New Roman" w:hAnsi="Times New Roman"/>
          <w:color w:val="1F2937"/>
          <w:sz w:val="22"/>
          <w:szCs w:val="22"/>
        </w:rPr>
        <w:t xml:space="preserve">Les mécanismes explicatifs restent en débat. Plusieurs cadres théoriques coexistent : théories de la dissociation néo-hilgardienne, modèles de l'absorption attentionnelle, théories socio-cognitives, et plus récemment le cadre du predictive coding. Aucun ne fait actuellement consensus dans la communauté neuroscientifique.</w:t>
      </w:r>
    </w:p>
    <w:p>
      <w:pPr>
        <w:spacing w:after="60" w:before="60"/>
        <w:ind w:left="431" w:hanging="288"/>
      </w:pPr>
      <w:r>
        <w:rPr>
          <w:rFonts w:ascii="Times New Roman" w:cs="Times New Roman" w:eastAsia="Times New Roman" w:hAnsi="Times New Roman"/>
          <w:b/>
          <w:bCs/>
          <w:color w:val="1B3A6B"/>
          <w:sz w:val="22"/>
          <w:szCs w:val="22"/>
        </w:rPr>
        <w:t xml:space="preserve">6. </w:t>
      </w:r>
      <w:r>
        <w:rPr>
          <w:rFonts w:ascii="Times New Roman" w:cs="Times New Roman" w:eastAsia="Times New Roman" w:hAnsi="Times New Roman"/>
          <w:color w:val="1F2937"/>
          <w:sz w:val="22"/>
          <w:szCs w:val="22"/>
        </w:rPr>
        <w:t xml:space="preserve">Hypnose et méditation : deux états distincts. Il serait prématuré de conclure que l'hypnose et la méditation sont médiées par les mêmes mécanismes cérébraux, même si certains corrélats (alpha, réduction de l'auto-référentialité) se ressemblent. Les populations et les protocoles étudiés diffèrent trop pour généraliser.</w:t>
      </w:r>
    </w:p>
    <w:p>
      <w:pPr>
        <w:pBdr>
          <w:bottom w:val="single" w:color="CCCCCC" w:sz="4"/>
        </w:pBdr>
        <w:spacing w:after="160" w:before="160"/>
      </w:pPr>
      <w:r>
        <w:t xml:space="preserve"/>
      </w:r>
    </w:p>
    <w:p>
      <w:pPr>
        <w:pBdr>
          <w:top w:val="single" w:color="1B3A6B" w:sz="4"/>
          <w:left w:val="single" w:color="1B3A6B" w:sz="6"/>
          <w:bottom w:val="single" w:color="1B3A6B" w:sz="4"/>
          <w:right w:val="single" w:color="1B3A6B" w:sz="4"/>
        </w:pBdr>
        <w:shd w:fill="F3F4F6" w:val="clear"/>
        <w:spacing w:after="120" w:before="120"/>
        <w:ind w:left="288" w:right="288"/>
      </w:pPr>
      <w:r>
        <w:rPr>
          <w:rFonts w:ascii="Times New Roman" w:cs="Times New Roman" w:eastAsia="Times New Roman" w:hAnsi="Times New Roman"/>
          <w:color w:val="1F2937"/>
          <w:sz w:val="22"/>
          <w:szCs w:val="22"/>
        </w:rPr>
        <w:t xml:space="preserve">À retenir : les neurosciences confirment que l'hypnose produit des effets cérébraux réels et mesurables,</w:t>
      </w:r>
      <w:r>
        <w:br/>
      </w:r>
      <w:r>
        <w:rPr>
          <w:rFonts w:ascii="Times New Roman" w:cs="Times New Roman" w:eastAsia="Times New Roman" w:hAnsi="Times New Roman"/>
          <w:color w:val="1F2937"/>
          <w:sz w:val="22"/>
          <w:szCs w:val="22"/>
        </w:rPr>
        <w:t xml:space="preserve">distincts de la simple relaxation. Mais elles ne « prouvent » pas l'efficacité clinique de l'hypnose dans tous</w:t>
      </w:r>
      <w:r>
        <w:br/>
      </w:r>
      <w:r>
        <w:rPr>
          <w:rFonts w:ascii="Times New Roman" w:cs="Times New Roman" w:eastAsia="Times New Roman" w:hAnsi="Times New Roman"/>
          <w:color w:val="1F2937"/>
          <w:sz w:val="22"/>
          <w:szCs w:val="22"/>
        </w:rPr>
        <w:t xml:space="preserve">ses usages actuels — ni ne valident l'ensemble des pratiques qui s'en réclament.</w:t>
      </w:r>
    </w:p>
    <w:p>
      <w:pPr>
        <w:pBdr>
          <w:bottom w:val="single" w:color="CCCCCC" w:sz="4"/>
        </w:pBdr>
        <w:spacing w:after="160" w:before="160"/>
      </w:pPr>
      <w:r>
        <w:t xml:space="preserve"/>
      </w:r>
    </w:p>
    <w:p>
      <w:pPr>
        <w:spacing w:after="120" w:before="300"/>
      </w:pPr>
      <w:r>
        <w:rPr>
          <w:rFonts w:ascii="Times New Roman" w:cs="Times New Roman" w:eastAsia="Times New Roman" w:hAnsi="Times New Roman"/>
          <w:b/>
          <w:bCs/>
          <w:color w:val="1B3A6B"/>
          <w:sz w:val="30"/>
          <w:szCs w:val="30"/>
        </w:rPr>
        <w:t xml:space="preserve">🛠️ Pratique (80 %) — Trois exercices + un challenge</w:t>
      </w:r>
    </w:p>
    <w:p>
      <w:pPr>
        <w:spacing w:after="80" w:before="200"/>
      </w:pPr>
      <w:r>
        <w:rPr>
          <w:rFonts w:ascii="Times New Roman" w:cs="Times New Roman" w:eastAsia="Times New Roman" w:hAnsi="Times New Roman"/>
          <w:b/>
          <w:bCs/>
          <w:color w:val="1F2937"/>
          <w:sz w:val="26"/>
          <w:szCs w:val="26"/>
        </w:rPr>
        <w:t xml:space="preserve">Exercice 1 — Journal neurologique : observer ses propres marqueurs</w:t>
      </w:r>
    </w:p>
    <w:p>
      <w:pPr>
        <w:spacing w:after="80" w:before="80"/>
        <w:ind/>
      </w:pPr>
      <w:r>
        <w:rPr>
          <w:rFonts w:ascii="Times New Roman" w:cs="Times New Roman" w:eastAsia="Times New Roman" w:hAnsi="Times New Roman"/>
          <w:b w:val="false"/>
          <w:bCs w:val="false"/>
          <w:i w:val="false"/>
          <w:iCs w:val="false"/>
          <w:color w:val="1F2937"/>
          <w:sz w:val="22"/>
          <w:szCs w:val="22"/>
        </w:rPr>
        <w:t xml:space="preserve">Objectif : apprendre à reconnaître les corrélats subjectifs des états alpha et thêta, et développer ton langage interne pour décrire tes états hypnotiques.</w:t>
      </w:r>
    </w:p>
    <w:p>
      <w:pPr>
        <w:spacing w:after="80" w:before="80"/>
      </w:pPr>
      <w:r>
        <w:rPr>
          <w:rFonts w:ascii="Times New Roman" w:cs="Times New Roman" w:eastAsia="Times New Roman" w:hAnsi="Times New Roman"/>
          <w:b/>
          <w:bCs/>
          <w:color w:val="1F2937"/>
          <w:sz w:val="22"/>
          <w:szCs w:val="22"/>
        </w:rPr>
        <w:t xml:space="preserve">Matériel : </w:t>
      </w:r>
      <w:r>
        <w:rPr>
          <w:rFonts w:ascii="Times New Roman" w:cs="Times New Roman" w:eastAsia="Times New Roman" w:hAnsi="Times New Roman"/>
          <w:color w:val="1F2937"/>
          <w:sz w:val="22"/>
          <w:szCs w:val="22"/>
        </w:rPr>
        <w:t xml:space="preserve">ton journal de pratique, 15 à 20 minutes.</w:t>
      </w:r>
    </w:p>
    <w:p>
      <w:pPr>
        <w:spacing w:after="80" w:before="80"/>
        <w:ind/>
      </w:pPr>
      <w:r>
        <w:rPr>
          <w:rFonts w:ascii="Times New Roman" w:cs="Times New Roman" w:eastAsia="Times New Roman" w:hAnsi="Times New Roman"/>
          <w:b/>
          <w:bCs/>
          <w:i w:val="false"/>
          <w:iCs w:val="false"/>
          <w:color w:val="1F2937"/>
          <w:sz w:val="22"/>
          <w:szCs w:val="22"/>
        </w:rPr>
        <w:t xml:space="preserve">Déroulé :</w:t>
      </w:r>
    </w:p>
    <w:p>
      <w:pPr>
        <w:spacing w:after="60" w:before="60"/>
        <w:ind w:left="431" w:hanging="288"/>
      </w:pPr>
      <w:r>
        <w:rPr>
          <w:rFonts w:ascii="Times New Roman" w:cs="Times New Roman" w:eastAsia="Times New Roman" w:hAnsi="Times New Roman"/>
          <w:b/>
          <w:bCs/>
          <w:color w:val="1B3A6B"/>
          <w:sz w:val="22"/>
          <w:szCs w:val="22"/>
        </w:rPr>
        <w:t xml:space="preserve">1. </w:t>
      </w:r>
      <w:r>
        <w:rPr>
          <w:rFonts w:ascii="Times New Roman" w:cs="Times New Roman" w:eastAsia="Times New Roman" w:hAnsi="Times New Roman"/>
          <w:color w:val="1F2937"/>
          <w:sz w:val="22"/>
          <w:szCs w:val="22"/>
        </w:rPr>
        <w:t xml:space="preserve">Installe-toi confortablement. Ferme les yeux. Commence par une induction courte (respiration abdominale lente, décompte de 5 à 1). Ne cherche pas de profondeur particulière — laisse venir ce qui vient.</w:t>
      </w:r>
    </w:p>
    <w:p>
      <w:pPr>
        <w:spacing w:after="60" w:before="60"/>
        <w:ind w:left="431" w:hanging="288"/>
      </w:pPr>
      <w:r>
        <w:rPr>
          <w:rFonts w:ascii="Times New Roman" w:cs="Times New Roman" w:eastAsia="Times New Roman" w:hAnsi="Times New Roman"/>
          <w:b/>
          <w:bCs/>
          <w:color w:val="1B3A6B"/>
          <w:sz w:val="22"/>
          <w:szCs w:val="22"/>
        </w:rPr>
        <w:t xml:space="preserve">2. </w:t>
      </w:r>
      <w:r>
        <w:rPr>
          <w:rFonts w:ascii="Times New Roman" w:cs="Times New Roman" w:eastAsia="Times New Roman" w:hAnsi="Times New Roman"/>
          <w:color w:val="1F2937"/>
          <w:sz w:val="22"/>
          <w:szCs w:val="22"/>
        </w:rPr>
        <w:t xml:space="preserve">Après 5 minutes, reste dans cet état et observe silencieusement : tes sensations physiques (lourdeur ou légèreté des membres, chaleur, relâchement des mâchoires, des épaules), la qualité de ton flux de pensées (plus lent ? plus imagé ? moins verbeux ?), ta relation aux sons de l'environnement (filtrés, éloignés, ou toujours intrusifs ?).</w:t>
      </w:r>
    </w:p>
    <w:p>
      <w:pPr>
        <w:spacing w:after="60" w:before="60"/>
        <w:ind w:left="431" w:hanging="288"/>
      </w:pPr>
      <w:r>
        <w:rPr>
          <w:rFonts w:ascii="Times New Roman" w:cs="Times New Roman" w:eastAsia="Times New Roman" w:hAnsi="Times New Roman"/>
          <w:b/>
          <w:bCs/>
          <w:color w:val="1B3A6B"/>
          <w:sz w:val="22"/>
          <w:szCs w:val="22"/>
        </w:rPr>
        <w:t xml:space="preserve">3. </w:t>
      </w:r>
      <w:r>
        <w:rPr>
          <w:rFonts w:ascii="Times New Roman" w:cs="Times New Roman" w:eastAsia="Times New Roman" w:hAnsi="Times New Roman"/>
          <w:color w:val="1F2937"/>
          <w:sz w:val="22"/>
          <w:szCs w:val="22"/>
        </w:rPr>
        <w:t xml:space="preserve">Prends note mentale de 3 marqueurs qui te semblent caractéristiques de ton état du moment.</w:t>
      </w:r>
    </w:p>
    <w:p>
      <w:pPr>
        <w:spacing w:after="60" w:before="60"/>
        <w:ind w:left="431" w:hanging="288"/>
      </w:pPr>
      <w:r>
        <w:rPr>
          <w:rFonts w:ascii="Times New Roman" w:cs="Times New Roman" w:eastAsia="Times New Roman" w:hAnsi="Times New Roman"/>
          <w:b/>
          <w:bCs/>
          <w:color w:val="1B3A6B"/>
          <w:sz w:val="22"/>
          <w:szCs w:val="22"/>
        </w:rPr>
        <w:t xml:space="preserve">4. </w:t>
      </w:r>
      <w:r>
        <w:rPr>
          <w:rFonts w:ascii="Times New Roman" w:cs="Times New Roman" w:eastAsia="Times New Roman" w:hAnsi="Times New Roman"/>
          <w:color w:val="1F2937"/>
          <w:sz w:val="22"/>
          <w:szCs w:val="22"/>
        </w:rPr>
        <w:t xml:space="preserve">Remonte doucement. Prends 3 minutes pour noter dans ton journal : tes 3 marqueurs, leur intensité sur une échelle de 1 à 5, et l'état général que tu définirais en un mot.</w:t>
      </w:r>
    </w:p>
    <w:p>
      <w:pPr>
        <w:spacing w:after="80" w:before="80"/>
        <w:ind/>
      </w:pPr>
      <w:r>
        <w:rPr>
          <w:rFonts w:ascii="Times New Roman" w:cs="Times New Roman" w:eastAsia="Times New Roman" w:hAnsi="Times New Roman"/>
          <w:b/>
          <w:bCs/>
          <w:i w:val="false"/>
          <w:iCs w:val="false"/>
          <w:color w:val="1F2937"/>
          <w:sz w:val="22"/>
          <w:szCs w:val="22"/>
        </w:rPr>
        <w:t xml:space="preserve">Interprétation pédagogique :</w:t>
      </w:r>
    </w:p>
    <w:p>
      <w:pPr>
        <w:spacing w:after="80" w:before="80"/>
        <w:ind/>
      </w:pPr>
      <w:r>
        <w:rPr>
          <w:rFonts w:ascii="Times New Roman" w:cs="Times New Roman" w:eastAsia="Times New Roman" w:hAnsi="Times New Roman"/>
          <w:b w:val="false"/>
          <w:bCs w:val="false"/>
          <w:i w:val="false"/>
          <w:iCs w:val="false"/>
          <w:color w:val="1F2937"/>
          <w:sz w:val="22"/>
          <w:szCs w:val="22"/>
        </w:rPr>
        <w:t xml:space="preserve">L'état alpha correspond souvent à une lourdeur agréable, un ralentissement des pensées verbales, et une indifférence croissante aux bruits environnants. L'état thêta — plus profond — s'accompagne fréquemment d'images spontanées, d'une perte partielle de la conscience du temps, et d'une sensation de flottement. En pratiquant ce journal, tu construis ta propre carte expérientielle des états hypnotiques.</w:t>
      </w:r>
    </w:p>
    <w:p>
      <w:pPr>
        <w:spacing w:after="80" w:before="80"/>
        <w:ind/>
      </w:pPr>
      <w:r>
        <w:rPr>
          <w:rFonts w:ascii="Times New Roman" w:cs="Times New Roman" w:eastAsia="Times New Roman" w:hAnsi="Times New Roman"/>
          <w:b w:val="false"/>
          <w:bCs w:val="false"/>
          <w:i w:val="false"/>
          <w:iCs w:val="false"/>
          <w:color w:val="1F2937"/>
          <w:sz w:val="22"/>
          <w:szCs w:val="22"/>
        </w:rPr>
        <w:t xml:space="preserve">Pratique sur 3 séances cette semaine. Observe si tes marqueurs évoluent ou se stabilisent.</w:t>
      </w:r>
    </w:p>
    <w:p>
      <w:pPr>
        <w:spacing w:after="80" w:before="200"/>
      </w:pPr>
      <w:r>
        <w:rPr>
          <w:rFonts w:ascii="Times New Roman" w:cs="Times New Roman" w:eastAsia="Times New Roman" w:hAnsi="Times New Roman"/>
          <w:b/>
          <w:bCs/>
          <w:color w:val="1F2937"/>
          <w:sz w:val="26"/>
          <w:szCs w:val="26"/>
        </w:rPr>
        <w:t xml:space="preserve">Exercice 2 — Le spectateur : expérimenter la modification du DMN</w:t>
      </w:r>
    </w:p>
    <w:p>
      <w:pPr>
        <w:spacing w:after="80" w:before="80"/>
        <w:ind/>
      </w:pPr>
      <w:r>
        <w:rPr>
          <w:rFonts w:ascii="Times New Roman" w:cs="Times New Roman" w:eastAsia="Times New Roman" w:hAnsi="Times New Roman"/>
          <w:b w:val="false"/>
          <w:bCs w:val="false"/>
          <w:i w:val="false"/>
          <w:iCs w:val="false"/>
          <w:color w:val="1F2937"/>
          <w:sz w:val="22"/>
          <w:szCs w:val="22"/>
        </w:rPr>
        <w:t xml:space="preserve">Objectif : expérimenter directement la modulation du réseau en mode par défaut (DMN), responsable du traitement auto-référentiel, par une suggestion d'hypnose.</w:t>
      </w:r>
    </w:p>
    <w:p>
      <w:pPr>
        <w:spacing w:after="80" w:before="80"/>
      </w:pPr>
      <w:r>
        <w:rPr>
          <w:rFonts w:ascii="Times New Roman" w:cs="Times New Roman" w:eastAsia="Times New Roman" w:hAnsi="Times New Roman"/>
          <w:b/>
          <w:bCs/>
          <w:color w:val="1F2937"/>
          <w:sz w:val="22"/>
          <w:szCs w:val="22"/>
        </w:rPr>
        <w:t xml:space="preserve">Durée : </w:t>
      </w:r>
      <w:r>
        <w:rPr>
          <w:rFonts w:ascii="Times New Roman" w:cs="Times New Roman" w:eastAsia="Times New Roman" w:hAnsi="Times New Roman"/>
          <w:color w:val="1F2937"/>
          <w:sz w:val="22"/>
          <w:szCs w:val="22"/>
        </w:rPr>
        <w:t xml:space="preserve">20 minutes environ.</w:t>
      </w:r>
    </w:p>
    <w:p>
      <w:pPr>
        <w:spacing w:after="80" w:before="80"/>
        <w:ind/>
      </w:pPr>
      <w:r>
        <w:rPr>
          <w:rFonts w:ascii="Times New Roman" w:cs="Times New Roman" w:eastAsia="Times New Roman" w:hAnsi="Times New Roman"/>
          <w:b/>
          <w:bCs/>
          <w:i w:val="false"/>
          <w:iCs w:val="false"/>
          <w:color w:val="1F2937"/>
          <w:sz w:val="22"/>
          <w:szCs w:val="22"/>
        </w:rPr>
        <w:t xml:space="preserve">Déroulé :</w:t>
      </w:r>
    </w:p>
    <w:p>
      <w:pPr>
        <w:spacing w:after="60" w:before="60"/>
        <w:ind w:left="431" w:hanging="288"/>
      </w:pPr>
      <w:r>
        <w:rPr>
          <w:rFonts w:ascii="Times New Roman" w:cs="Times New Roman" w:eastAsia="Times New Roman" w:hAnsi="Times New Roman"/>
          <w:b/>
          <w:bCs/>
          <w:color w:val="1B3A6B"/>
          <w:sz w:val="22"/>
          <w:szCs w:val="22"/>
        </w:rPr>
        <w:t xml:space="preserve">1. </w:t>
      </w:r>
      <w:r>
        <w:rPr>
          <w:rFonts w:ascii="Times New Roman" w:cs="Times New Roman" w:eastAsia="Times New Roman" w:hAnsi="Times New Roman"/>
          <w:color w:val="1F2937"/>
          <w:sz w:val="22"/>
          <w:szCs w:val="22"/>
        </w:rPr>
        <w:t xml:space="preserve">Choisis une situation passée neutre à légèrement positive — une promenade ordinaire, un repas récent agréable. Pas de situation émotionnellement chargée.</w:t>
      </w:r>
    </w:p>
    <w:p>
      <w:pPr>
        <w:spacing w:after="60" w:before="60"/>
        <w:ind w:left="431" w:hanging="288"/>
      </w:pPr>
      <w:r>
        <w:rPr>
          <w:rFonts w:ascii="Times New Roman" w:cs="Times New Roman" w:eastAsia="Times New Roman" w:hAnsi="Times New Roman"/>
          <w:b/>
          <w:bCs/>
          <w:color w:val="1B3A6B"/>
          <w:sz w:val="22"/>
          <w:szCs w:val="22"/>
        </w:rPr>
        <w:t xml:space="preserve">2. </w:t>
      </w:r>
      <w:r>
        <w:rPr>
          <w:rFonts w:ascii="Times New Roman" w:cs="Times New Roman" w:eastAsia="Times New Roman" w:hAnsi="Times New Roman"/>
          <w:color w:val="1F2937"/>
          <w:sz w:val="22"/>
          <w:szCs w:val="22"/>
        </w:rPr>
        <w:t xml:space="preserve">Procède à une induction standard (décompte, respiration, scan corporel). Attends d'avoir atteint un état de lourdeur et d'absorption.</w:t>
      </w:r>
    </w:p>
    <w:p>
      <w:pPr>
        <w:spacing w:after="60" w:before="60"/>
        <w:ind w:left="431" w:hanging="288"/>
      </w:pPr>
      <w:r>
        <w:rPr>
          <w:rFonts w:ascii="Times New Roman" w:cs="Times New Roman" w:eastAsia="Times New Roman" w:hAnsi="Times New Roman"/>
          <w:b/>
          <w:bCs/>
          <w:color w:val="1B3A6B"/>
          <w:sz w:val="22"/>
          <w:szCs w:val="22"/>
        </w:rPr>
        <w:t xml:space="preserve">3. </w:t>
      </w:r>
      <w:r>
        <w:rPr>
          <w:rFonts w:ascii="Times New Roman" w:cs="Times New Roman" w:eastAsia="Times New Roman" w:hAnsi="Times New Roman"/>
          <w:color w:val="1F2937"/>
          <w:sz w:val="22"/>
          <w:szCs w:val="22"/>
        </w:rPr>
        <w:t xml:space="preserve">Dis-toi intérieurement : « Je vais me voir dans cette scène comme si j'étais au cinéma. Je suis dans la salle, la scène se déroule sur l'écran. » Laisse la scène se former, sans la contrôler.</w:t>
      </w:r>
    </w:p>
    <w:p>
      <w:pPr>
        <w:spacing w:after="60" w:before="60"/>
        <w:ind w:left="431" w:hanging="288"/>
      </w:pPr>
      <w:r>
        <w:rPr>
          <w:rFonts w:ascii="Times New Roman" w:cs="Times New Roman" w:eastAsia="Times New Roman" w:hAnsi="Times New Roman"/>
          <w:b/>
          <w:bCs/>
          <w:color w:val="1B3A6B"/>
          <w:sz w:val="22"/>
          <w:szCs w:val="22"/>
        </w:rPr>
        <w:t xml:space="preserve">4. </w:t>
      </w:r>
      <w:r>
        <w:rPr>
          <w:rFonts w:ascii="Times New Roman" w:cs="Times New Roman" w:eastAsia="Times New Roman" w:hAnsi="Times New Roman"/>
          <w:color w:val="1F2937"/>
          <w:sz w:val="22"/>
          <w:szCs w:val="22"/>
        </w:rPr>
        <w:t xml:space="preserve">Observe : comment te perçois-tu dans cette scène en mode « spectateur » ? La charge émotionnelle associée à la situation est-elle identique à quand tu la vis en « première personne » ? Y a-t-il une différence de distance, de clarté, d'affect ?</w:t>
      </w:r>
    </w:p>
    <w:p>
      <w:pPr>
        <w:spacing w:after="60" w:before="60"/>
        <w:ind w:left="431" w:hanging="288"/>
      </w:pPr>
      <w:r>
        <w:rPr>
          <w:rFonts w:ascii="Times New Roman" w:cs="Times New Roman" w:eastAsia="Times New Roman" w:hAnsi="Times New Roman"/>
          <w:b/>
          <w:bCs/>
          <w:color w:val="1B3A6B"/>
          <w:sz w:val="22"/>
          <w:szCs w:val="22"/>
        </w:rPr>
        <w:t xml:space="preserve">5. </w:t>
      </w:r>
      <w:r>
        <w:rPr>
          <w:rFonts w:ascii="Times New Roman" w:cs="Times New Roman" w:eastAsia="Times New Roman" w:hAnsi="Times New Roman"/>
          <w:color w:val="1F2937"/>
          <w:sz w:val="22"/>
          <w:szCs w:val="22"/>
        </w:rPr>
        <w:t xml:space="preserve">Reviens en mode « première personne » quelques secondes pour comparer, puis repassez en mode spectateur. Explorez la différence.</w:t>
      </w:r>
    </w:p>
    <w:p>
      <w:pPr>
        <w:spacing w:after="60" w:before="60"/>
        <w:ind w:left="431" w:hanging="288"/>
      </w:pPr>
      <w:r>
        <w:rPr>
          <w:rFonts w:ascii="Times New Roman" w:cs="Times New Roman" w:eastAsia="Times New Roman" w:hAnsi="Times New Roman"/>
          <w:b/>
          <w:bCs/>
          <w:color w:val="1B3A6B"/>
          <w:sz w:val="22"/>
          <w:szCs w:val="22"/>
        </w:rPr>
        <w:t xml:space="preserve">6. </w:t>
      </w:r>
      <w:r>
        <w:rPr>
          <w:rFonts w:ascii="Times New Roman" w:cs="Times New Roman" w:eastAsia="Times New Roman" w:hAnsi="Times New Roman"/>
          <w:color w:val="1F2937"/>
          <w:sz w:val="22"/>
          <w:szCs w:val="22"/>
        </w:rPr>
        <w:t xml:space="preserve">Sortie douce. Note dans ton journal : la qualité de la transition, la différence de charge affective perçue, et si cet exercice t'a paru naturel ou forcé.</w:t>
      </w:r>
    </w:p>
    <w:p>
      <w:pPr>
        <w:spacing w:after="80" w:before="80"/>
        <w:ind/>
      </w:pPr>
      <w:r>
        <w:rPr>
          <w:rFonts w:ascii="Times New Roman" w:cs="Times New Roman" w:eastAsia="Times New Roman" w:hAnsi="Times New Roman"/>
          <w:b/>
          <w:bCs/>
          <w:i w:val="false"/>
          <w:iCs w:val="false"/>
          <w:color w:val="1F2937"/>
          <w:sz w:val="22"/>
          <w:szCs w:val="22"/>
        </w:rPr>
        <w:t xml:space="preserve">Ce que cet exercice illustre :</w:t>
      </w:r>
    </w:p>
    <w:p>
      <w:pPr>
        <w:spacing w:after="80" w:before="80"/>
        <w:ind/>
      </w:pPr>
      <w:r>
        <w:rPr>
          <w:rFonts w:ascii="Times New Roman" w:cs="Times New Roman" w:eastAsia="Times New Roman" w:hAnsi="Times New Roman"/>
          <w:b w:val="false"/>
          <w:bCs w:val="false"/>
          <w:i w:val="false"/>
          <w:iCs w:val="false"/>
          <w:color w:val="1F2937"/>
          <w:sz w:val="22"/>
          <w:szCs w:val="22"/>
        </w:rPr>
        <w:t xml:space="preserve">La prise de recul en mode « spectateur » mobilise une modification du traitement auto-référentiel que les modèles de reconfiguration du DMN tentent d'expliquer neurologiquement. En hypnose, cette dissociation entre le moi observateur et le moi observé est une ressource souvent utilisée pour travailler sur des situations difficiles — toujours dans un cadre professionnel qualifié pour les travaux sur des traumas.</w:t>
      </w:r>
    </w:p>
    <w:p>
      <w:pPr>
        <w:spacing w:after="80" w:before="200"/>
      </w:pPr>
      <w:r>
        <w:rPr>
          <w:rFonts w:ascii="Times New Roman" w:cs="Times New Roman" w:eastAsia="Times New Roman" w:hAnsi="Times New Roman"/>
          <w:b/>
          <w:bCs/>
          <w:color w:val="1F2937"/>
          <w:sz w:val="26"/>
          <w:szCs w:val="26"/>
        </w:rPr>
        <w:t xml:space="preserve">Exercice 3 — Le bras leviteur : observer l'ambiguïté volontaire/involontaire</w:t>
      </w:r>
    </w:p>
    <w:p>
      <w:pPr>
        <w:spacing w:after="80" w:before="80"/>
        <w:ind/>
      </w:pPr>
      <w:r>
        <w:rPr>
          <w:rFonts w:ascii="Times New Roman" w:cs="Times New Roman" w:eastAsia="Times New Roman" w:hAnsi="Times New Roman"/>
          <w:b w:val="false"/>
          <w:bCs w:val="false"/>
          <w:i w:val="false"/>
          <w:iCs w:val="false"/>
          <w:color w:val="1F2937"/>
          <w:sz w:val="22"/>
          <w:szCs w:val="22"/>
        </w:rPr>
        <w:t xml:space="preserve">Objectif : expérimenter l'une des questions fondamentales que les neurosciences posent à l'hypnose — la frontière entre mouvement volontaire et effet de suggestion.</w:t>
      </w:r>
    </w:p>
    <w:p>
      <w:pPr>
        <w:pBdr>
          <w:top w:val="single" w:color="1B3A6B" w:sz="4"/>
          <w:left w:val="single" w:color="1B3A6B" w:sz="6"/>
          <w:bottom w:val="single" w:color="1B3A6B" w:sz="4"/>
          <w:right w:val="single" w:color="1B3A6B" w:sz="4"/>
        </w:pBdr>
        <w:shd w:fill="F3F4F6" w:val="clear"/>
        <w:spacing w:after="120" w:before="120"/>
        <w:ind w:left="288" w:right="288"/>
      </w:pPr>
      <w:r>
        <w:rPr>
          <w:rFonts w:ascii="Times New Roman" w:cs="Times New Roman" w:eastAsia="Times New Roman" w:hAnsi="Times New Roman"/>
          <w:color w:val="1F2937"/>
          <w:sz w:val="22"/>
          <w:szCs w:val="22"/>
        </w:rPr>
        <w:t xml:space="preserve">Rappel : cet exercice est un outil d'observation personnelle, pas un test de tes capacités</w:t>
      </w:r>
      <w:r>
        <w:br/>
      </w:r>
      <w:r>
        <w:rPr>
          <w:rFonts w:ascii="Times New Roman" w:cs="Times New Roman" w:eastAsia="Times New Roman" w:hAnsi="Times New Roman"/>
          <w:color w:val="1F2937"/>
          <w:sz w:val="22"/>
          <w:szCs w:val="22"/>
        </w:rPr>
        <w:t xml:space="preserve">ou de ton niveau d'hypnotisabilité. Pas de performance attendue.</w:t>
      </w:r>
    </w:p>
    <w:p>
      <w:pPr>
        <w:spacing w:after="80" w:before="80"/>
        <w:ind/>
      </w:pPr>
      <w:r>
        <w:rPr>
          <w:rFonts w:ascii="Times New Roman" w:cs="Times New Roman" w:eastAsia="Times New Roman" w:hAnsi="Times New Roman"/>
          <w:b/>
          <w:bCs/>
          <w:i w:val="false"/>
          <w:iCs w:val="false"/>
          <w:color w:val="1F2937"/>
          <w:sz w:val="22"/>
          <w:szCs w:val="22"/>
        </w:rPr>
        <w:t xml:space="preserve">Déroulé :</w:t>
      </w:r>
    </w:p>
    <w:p>
      <w:pPr>
        <w:spacing w:after="60" w:before="60"/>
        <w:ind w:left="431" w:hanging="288"/>
      </w:pPr>
      <w:r>
        <w:rPr>
          <w:rFonts w:ascii="Times New Roman" w:cs="Times New Roman" w:eastAsia="Times New Roman" w:hAnsi="Times New Roman"/>
          <w:b/>
          <w:bCs/>
          <w:color w:val="1B3A6B"/>
          <w:sz w:val="22"/>
          <w:szCs w:val="22"/>
        </w:rPr>
        <w:t xml:space="preserve">1. </w:t>
      </w:r>
      <w:r>
        <w:rPr>
          <w:rFonts w:ascii="Times New Roman" w:cs="Times New Roman" w:eastAsia="Times New Roman" w:hAnsi="Times New Roman"/>
          <w:color w:val="1F2937"/>
          <w:sz w:val="22"/>
          <w:szCs w:val="22"/>
        </w:rPr>
        <w:t xml:space="preserve">Après une induction standard, pose les deux mains sur tes cuisses, paumes vers le bas.</w:t>
      </w:r>
    </w:p>
    <w:p>
      <w:pPr>
        <w:spacing w:after="60" w:before="60"/>
        <w:ind w:left="431" w:hanging="288"/>
      </w:pPr>
      <w:r>
        <w:rPr>
          <w:rFonts w:ascii="Times New Roman" w:cs="Times New Roman" w:eastAsia="Times New Roman" w:hAnsi="Times New Roman"/>
          <w:b/>
          <w:bCs/>
          <w:color w:val="1B3A6B"/>
          <w:sz w:val="22"/>
          <w:szCs w:val="22"/>
        </w:rPr>
        <w:t xml:space="preserve">2. </w:t>
      </w:r>
      <w:r>
        <w:rPr>
          <w:rFonts w:ascii="Times New Roman" w:cs="Times New Roman" w:eastAsia="Times New Roman" w:hAnsi="Times New Roman"/>
          <w:color w:val="1F2937"/>
          <w:sz w:val="22"/>
          <w:szCs w:val="22"/>
        </w:rPr>
        <w:t xml:space="preserve">Suggère-toi mentalement, lentement : « Mon bras droit devient de plus en plus léger. Comme si un fil invisible le tirait doucement vers le haut. De plus en plus léger... » Répète cette suggestion 4 à 5 fois, sans effort.</w:t>
      </w:r>
    </w:p>
    <w:p>
      <w:pPr>
        <w:spacing w:after="60" w:before="60"/>
        <w:ind w:left="431" w:hanging="288"/>
      </w:pPr>
      <w:r>
        <w:rPr>
          <w:rFonts w:ascii="Times New Roman" w:cs="Times New Roman" w:eastAsia="Times New Roman" w:hAnsi="Times New Roman"/>
          <w:b/>
          <w:bCs/>
          <w:color w:val="1B3A6B"/>
          <w:sz w:val="22"/>
          <w:szCs w:val="22"/>
        </w:rPr>
        <w:t xml:space="preserve">3. </w:t>
      </w:r>
      <w:r>
        <w:rPr>
          <w:rFonts w:ascii="Times New Roman" w:cs="Times New Roman" w:eastAsia="Times New Roman" w:hAnsi="Times New Roman"/>
          <w:color w:val="1F2937"/>
          <w:sz w:val="22"/>
          <w:szCs w:val="22"/>
        </w:rPr>
        <w:t xml:space="preserve">Ne cherche pas à lever le bras consciemment. Observe ce qui se passe — ou ne se passe pas.</w:t>
      </w:r>
    </w:p>
    <w:p>
      <w:pPr>
        <w:spacing w:after="60" w:before="60"/>
        <w:ind w:left="431" w:hanging="288"/>
      </w:pPr>
      <w:r>
        <w:rPr>
          <w:rFonts w:ascii="Times New Roman" w:cs="Times New Roman" w:eastAsia="Times New Roman" w:hAnsi="Times New Roman"/>
          <w:b/>
          <w:bCs/>
          <w:color w:val="1B3A6B"/>
          <w:sz w:val="22"/>
          <w:szCs w:val="22"/>
        </w:rPr>
        <w:t xml:space="preserve">4. </w:t>
      </w:r>
      <w:r>
        <w:rPr>
          <w:rFonts w:ascii="Times New Roman" w:cs="Times New Roman" w:eastAsia="Times New Roman" w:hAnsi="Times New Roman"/>
          <w:color w:val="1F2937"/>
          <w:sz w:val="22"/>
          <w:szCs w:val="22"/>
        </w:rPr>
        <w:t xml:space="preserve">Si ton bras remonte, note : le mouvement te paraît-il volitif ou automatique ? Y a-t-il une différence entre ta perception initiale et ce que tu penses rétrospectivement ?</w:t>
      </w:r>
    </w:p>
    <w:p>
      <w:pPr>
        <w:spacing w:after="60" w:before="60"/>
        <w:ind w:left="431" w:hanging="288"/>
      </w:pPr>
      <w:r>
        <w:rPr>
          <w:rFonts w:ascii="Times New Roman" w:cs="Times New Roman" w:eastAsia="Times New Roman" w:hAnsi="Times New Roman"/>
          <w:b/>
          <w:bCs/>
          <w:color w:val="1B3A6B"/>
          <w:sz w:val="22"/>
          <w:szCs w:val="22"/>
        </w:rPr>
        <w:t xml:space="preserve">5. </w:t>
      </w:r>
      <w:r>
        <w:rPr>
          <w:rFonts w:ascii="Times New Roman" w:cs="Times New Roman" w:eastAsia="Times New Roman" w:hAnsi="Times New Roman"/>
          <w:color w:val="1F2937"/>
          <w:sz w:val="22"/>
          <w:szCs w:val="22"/>
        </w:rPr>
        <w:t xml:space="preserve">Fais l'expérience dans l'autre sens : lève le même bras volontairement. Compares-tu les deux qualités de mouvement ?</w:t>
      </w:r>
    </w:p>
    <w:p>
      <w:pPr>
        <w:spacing w:after="60" w:before="60"/>
        <w:ind w:left="431" w:hanging="288"/>
      </w:pPr>
      <w:r>
        <w:rPr>
          <w:rFonts w:ascii="Times New Roman" w:cs="Times New Roman" w:eastAsia="Times New Roman" w:hAnsi="Times New Roman"/>
          <w:b/>
          <w:bCs/>
          <w:color w:val="1B3A6B"/>
          <w:sz w:val="22"/>
          <w:szCs w:val="22"/>
        </w:rPr>
        <w:t xml:space="preserve">6. </w:t>
      </w:r>
      <w:r>
        <w:rPr>
          <w:rFonts w:ascii="Times New Roman" w:cs="Times New Roman" w:eastAsia="Times New Roman" w:hAnsi="Times New Roman"/>
          <w:color w:val="1F2937"/>
          <w:sz w:val="22"/>
          <w:szCs w:val="22"/>
        </w:rPr>
        <w:t xml:space="preserve">Sortie douce. Note dans ton journal : ce que tu as observé, ta première impression, et ton évaluation rétrospective.</w:t>
      </w:r>
    </w:p>
    <w:p>
      <w:pPr>
        <w:spacing w:after="80" w:before="80"/>
        <w:ind/>
      </w:pPr>
      <w:r>
        <w:rPr>
          <w:rFonts w:ascii="Times New Roman" w:cs="Times New Roman" w:eastAsia="Times New Roman" w:hAnsi="Times New Roman"/>
          <w:b/>
          <w:bCs/>
          <w:i w:val="false"/>
          <w:iCs w:val="false"/>
          <w:color w:val="1F2937"/>
          <w:sz w:val="22"/>
          <w:szCs w:val="22"/>
        </w:rPr>
        <w:t xml:space="preserve">Réflexion associée :</w:t>
      </w:r>
    </w:p>
    <w:p>
      <w:pPr>
        <w:spacing w:after="80" w:before="80"/>
        <w:ind/>
      </w:pPr>
      <w:r>
        <w:rPr>
          <w:rFonts w:ascii="Times New Roman" w:cs="Times New Roman" w:eastAsia="Times New Roman" w:hAnsi="Times New Roman"/>
          <w:b w:val="false"/>
          <w:bCs w:val="false"/>
          <w:i w:val="false"/>
          <w:iCs w:val="false"/>
          <w:color w:val="1F2937"/>
          <w:sz w:val="22"/>
          <w:szCs w:val="22"/>
        </w:rPr>
        <w:t xml:space="preserve">C'est exactement cette ambiguïté — mouvement volontaire déguisé ou effet réel de la suggestion ? — que la neuroimagerie cherche à trancher. Les données actuelles suggèrent que pour les hauts hypnotisables, l'activation des régions motrices lors d'un mouvement suggéré diffère légèrement de celle observée lors d'un mouvement volontaire conscient. Mais la frontière n'est pas nette, et l'interprétation reste débattue. Ton observation personnelle est une donnée — pas une preuve dans un sens ou dans l'autre.</w:t>
      </w:r>
    </w:p>
    <w:p>
      <w:pPr>
        <w:pBdr>
          <w:bottom w:val="single" w:color="CCCCCC" w:sz="4"/>
        </w:pBdr>
        <w:spacing w:after="160" w:before="160"/>
      </w:pPr>
      <w:r>
        <w:t xml:space="preserve"/>
      </w:r>
    </w:p>
    <w:p>
      <w:pPr>
        <w:spacing w:after="120" w:before="300"/>
      </w:pPr>
      <w:r>
        <w:rPr>
          <w:rFonts w:ascii="Times New Roman" w:cs="Times New Roman" w:eastAsia="Times New Roman" w:hAnsi="Times New Roman"/>
          <w:b/>
          <w:bCs/>
          <w:color w:val="1B3A6B"/>
          <w:sz w:val="30"/>
          <w:szCs w:val="30"/>
        </w:rPr>
        <w:t xml:space="preserve">🎯 Challenge — Enquête personnelle sur un phénomène hypnotique</w:t>
      </w:r>
    </w:p>
    <w:p>
      <w:pPr>
        <w:spacing w:after="80" w:before="80"/>
        <w:ind/>
      </w:pPr>
      <w:r>
        <w:rPr>
          <w:rFonts w:ascii="Times New Roman" w:cs="Times New Roman" w:eastAsia="Times New Roman" w:hAnsi="Times New Roman"/>
          <w:b w:val="false"/>
          <w:bCs w:val="false"/>
          <w:i w:val="false"/>
          <w:iCs w:val="false"/>
          <w:color w:val="1F2937"/>
          <w:sz w:val="22"/>
          <w:szCs w:val="22"/>
        </w:rPr>
        <w:t xml:space="preserve">Ce challenge te demande d'adopter la posture d'un observateur-chercheur sur ta propre pratique, en confrontant ton vécu subjectif à la littérature neuroscientifique.</w:t>
      </w:r>
    </w:p>
    <w:p>
      <w:pPr>
        <w:spacing w:after="80" w:before="200"/>
      </w:pPr>
      <w:r>
        <w:rPr>
          <w:rFonts w:ascii="Times New Roman" w:cs="Times New Roman" w:eastAsia="Times New Roman" w:hAnsi="Times New Roman"/>
          <w:b/>
          <w:bCs/>
          <w:color w:val="1F2937"/>
          <w:sz w:val="26"/>
          <w:szCs w:val="26"/>
        </w:rPr>
        <w:t xml:space="preserve">Protocole sur la semaine à venir</w:t>
      </w:r>
    </w:p>
    <w:p>
      <w:pPr>
        <w:spacing w:after="60" w:before="60"/>
        <w:ind w:left="431" w:hanging="288"/>
      </w:pPr>
      <w:r>
        <w:rPr>
          <w:rFonts w:ascii="Times New Roman" w:cs="Times New Roman" w:eastAsia="Times New Roman" w:hAnsi="Times New Roman"/>
          <w:b/>
          <w:bCs/>
          <w:color w:val="1B3A6B"/>
          <w:sz w:val="22"/>
          <w:szCs w:val="22"/>
        </w:rPr>
        <w:t xml:space="preserve">1. </w:t>
      </w:r>
      <w:r>
        <w:rPr>
          <w:rFonts w:ascii="Times New Roman" w:cs="Times New Roman" w:eastAsia="Times New Roman" w:hAnsi="Times New Roman"/>
          <w:color w:val="1F2937"/>
          <w:sz w:val="22"/>
          <w:szCs w:val="22"/>
        </w:rPr>
        <w:t xml:space="preserve">Choisis un phénomène hypnotique à explorer parmi : distorsion du temps (la séance te semble durer 5 minutes alors qu'il s'en écoule 20), analgésie légère sur une sensation neutre (picotement du froid sur le poignet après suggestion d'engourdissement), ou modification de la perception auditive (sons plus lointains ou filtrés).</w:t>
      </w:r>
    </w:p>
    <w:p>
      <w:pPr>
        <w:spacing w:after="60" w:before="60"/>
        <w:ind w:left="431" w:hanging="288"/>
      </w:pPr>
      <w:r>
        <w:rPr>
          <w:rFonts w:ascii="Times New Roman" w:cs="Times New Roman" w:eastAsia="Times New Roman" w:hAnsi="Times New Roman"/>
          <w:b/>
          <w:bCs/>
          <w:color w:val="1B3A6B"/>
          <w:sz w:val="22"/>
          <w:szCs w:val="22"/>
        </w:rPr>
        <w:t xml:space="preserve">2. </w:t>
      </w:r>
      <w:r>
        <w:rPr>
          <w:rFonts w:ascii="Times New Roman" w:cs="Times New Roman" w:eastAsia="Times New Roman" w:hAnsi="Times New Roman"/>
          <w:color w:val="1F2937"/>
          <w:sz w:val="22"/>
          <w:szCs w:val="22"/>
        </w:rPr>
        <w:t xml:space="preserve">Pratique ce phénomène lors de 3 séances d'auto-hypnose dans la semaine. Note systématiquement : l'induction utilisée, la durée perçue vs réelle, l'intensité du phénomène sur 5.</w:t>
      </w:r>
    </w:p>
    <w:p>
      <w:pPr>
        <w:spacing w:after="60" w:before="60"/>
        <w:ind w:left="431" w:hanging="288"/>
      </w:pPr>
      <w:r>
        <w:rPr>
          <w:rFonts w:ascii="Times New Roman" w:cs="Times New Roman" w:eastAsia="Times New Roman" w:hAnsi="Times New Roman"/>
          <w:b/>
          <w:bCs/>
          <w:color w:val="1B3A6B"/>
          <w:sz w:val="22"/>
          <w:szCs w:val="22"/>
        </w:rPr>
        <w:t xml:space="preserve">3. </w:t>
      </w:r>
      <w:r>
        <w:rPr>
          <w:rFonts w:ascii="Times New Roman" w:cs="Times New Roman" w:eastAsia="Times New Roman" w:hAnsi="Times New Roman"/>
          <w:color w:val="1F2937"/>
          <w:sz w:val="22"/>
          <w:szCs w:val="22"/>
        </w:rPr>
        <w:t xml:space="preserve">Relève dans les ressources de cette leçon ce que la littérature sait (ou ne sait pas) de ce phénomène. Quels circuits cérébraux sont impliqués ? Qu'est-ce qui reste incertain ?</w:t>
      </w:r>
    </w:p>
    <w:p>
      <w:pPr>
        <w:spacing w:after="60" w:before="60"/>
        <w:ind w:left="431" w:hanging="288"/>
      </w:pPr>
      <w:r>
        <w:rPr>
          <w:rFonts w:ascii="Times New Roman" w:cs="Times New Roman" w:eastAsia="Times New Roman" w:hAnsi="Times New Roman"/>
          <w:b/>
          <w:bCs/>
          <w:color w:val="1B3A6B"/>
          <w:sz w:val="22"/>
          <w:szCs w:val="22"/>
        </w:rPr>
        <w:t xml:space="preserve">4. </w:t>
      </w:r>
      <w:r>
        <w:rPr>
          <w:rFonts w:ascii="Times New Roman" w:cs="Times New Roman" w:eastAsia="Times New Roman" w:hAnsi="Times New Roman"/>
          <w:color w:val="1F2937"/>
          <w:sz w:val="22"/>
          <w:szCs w:val="22"/>
        </w:rPr>
        <w:t xml:space="preserve">Rédige dans ton journal une note synthétique en 5 à 10 lignes : « Ce que j'ai observé — Ce que la littérature suggère — Ce que je ne sais pas encore. »</w:t>
      </w:r>
    </w:p>
    <w:p>
      <w:pPr>
        <w:spacing w:after="80" w:before="80"/>
        <w:ind/>
      </w:pPr>
      <w:r>
        <w:rPr>
          <w:rFonts w:ascii="Times New Roman" w:cs="Times New Roman" w:eastAsia="Times New Roman" w:hAnsi="Times New Roman"/>
          <w:b w:val="false"/>
          <w:bCs w:val="false"/>
          <w:i w:val="false"/>
          <w:iCs w:val="false"/>
          <w:color w:val="1F2937"/>
          <w:sz w:val="22"/>
          <w:szCs w:val="22"/>
        </w:rPr>
        <w:t xml:space="preserve">Ce format en trois colonnes (observation / littérature / incertitude) est celui de tout chercheur sérieux. Le pratiquer sur toi-même te donnera une capacité de recul sur les affirmations rencontrées dans les formations ou les ouvrages sur l'hypnose — une ressource précieuse pour la leçon 19 (cadre éthique) et la leçon 20 (bilan).</w:t>
      </w:r>
    </w:p>
    <w:p>
      <w:pPr>
        <w:pBdr>
          <w:bottom w:val="single" w:color="CCCCCC" w:sz="4"/>
        </w:pBdr>
        <w:spacing w:after="160" w:before="160"/>
      </w:pPr>
      <w:r>
        <w:t xml:space="preserve"/>
      </w:r>
    </w:p>
    <w:p>
      <w:pPr>
        <w:spacing w:after="120" w:before="300"/>
      </w:pPr>
      <w:r>
        <w:rPr>
          <w:rFonts w:ascii="Times New Roman" w:cs="Times New Roman" w:eastAsia="Times New Roman" w:hAnsi="Times New Roman"/>
          <w:b/>
          <w:bCs/>
          <w:color w:val="1B3A6B"/>
          <w:sz w:val="30"/>
          <w:szCs w:val="30"/>
        </w:rPr>
        <w:t xml:space="preserve">🌉 Pont pro (court)</w:t>
      </w:r>
    </w:p>
    <w:p>
      <w:pPr>
        <w:spacing w:after="80" w:before="80"/>
        <w:ind/>
      </w:pPr>
      <w:r>
        <w:rPr>
          <w:rFonts w:ascii="Times New Roman" w:cs="Times New Roman" w:eastAsia="Times New Roman" w:hAnsi="Times New Roman"/>
          <w:b w:val="false"/>
          <w:bCs w:val="false"/>
          <w:i w:val="false"/>
          <w:iCs w:val="false"/>
          <w:color w:val="1F2937"/>
          <w:sz w:val="22"/>
          <w:szCs w:val="22"/>
        </w:rPr>
        <w:t xml:space="preserve">La compréhension du DMN et des mécanismes attentionnels de l'hypnose éclaire un phénomène que tout professionnel en ESSMS connaît sans toujours le nommer : le contexte, la posture, le rythme et la qualité de présence d'un professionnel influencent l'état interne des personnes accompagnées, indépendamment de toute intention hypnotique. Ce qu'on appelle en clinique la « présence thérapeutique » ou l'« alliance de travail » repose en partie sur ces mécanismes attentionnels. Cette leçon fournit un vocabulaire neuroscientifique pour comprendre pourquoi — pas pour pratiquer l'hypnose en ESSMS sans qualification.</w:t>
      </w:r>
    </w:p>
    <w:p>
      <w:pPr>
        <w:pBdr>
          <w:bottom w:val="single" w:color="CCCCCC" w:sz="4"/>
        </w:pBdr>
        <w:spacing w:after="160" w:before="160"/>
      </w:pPr>
      <w:r>
        <w:t xml:space="preserve"/>
      </w:r>
    </w:p>
    <w:p>
      <w:pPr>
        <w:spacing w:after="120" w:before="300"/>
      </w:pPr>
      <w:r>
        <w:rPr>
          <w:rFonts w:ascii="Times New Roman" w:cs="Times New Roman" w:eastAsia="Times New Roman" w:hAnsi="Times New Roman"/>
          <w:b/>
          <w:bCs/>
          <w:color w:val="1B3A6B"/>
          <w:sz w:val="30"/>
          <w:szCs w:val="30"/>
        </w:rPr>
        <w:t xml:space="preserve">📚 Ressources cliquables</w:t>
      </w:r>
    </w:p>
    <w:p>
      <w:pPr>
        <w:pStyle w:val="ListParagraph"/>
        <w:numPr>
          <w:ilvl w:val="0"/>
          <w:numId w:val="1"/>
        </w:numPr>
        <w:spacing w:after="60" w:before="60"/>
        <w:ind w:left="431" w:hanging="215"/>
      </w:pPr>
      <w:hyperlink w:history="1" r:id="rIdkgcejfyxghz2vzrxvw2jg">
        <w:r>
          <w:rPr>
            <w:rFonts w:ascii="Times New Roman" w:cs="Times New Roman" w:eastAsia="Times New Roman" w:hAnsi="Times New Roman"/>
            <w:color w:val="1155CC"/>
            <w:sz w:val="22"/>
            <w:szCs w:val="22"/>
            <w:u w:val="single"/>
          </w:rPr>
          <w:t xml:space="preserve">Gallardo LM, Chetri S. (2026) — Hypnosis as a Mechanism of Emotion Regulation and Self-Integration — Behavioral Sciences (PMC13024316)</w:t>
        </w:r>
      </w:hyperlink>
      <w:r>
        <w:rPr>
          <w:rFonts w:ascii="Times New Roman" w:cs="Times New Roman" w:eastAsia="Times New Roman" w:hAnsi="Times New Roman"/>
          <w:color w:val="1F2937"/>
          <w:sz w:val="22"/>
          <w:szCs w:val="22"/>
        </w:rPr>
        <w:t xml:space="preserve"> — Revue intégrative sur DMN, ECN, SaN et régulation émotionnelle sous hypnose. DOI: 10.3390/bs16030395</w:t>
      </w:r>
    </w:p>
    <w:p>
      <w:pPr>
        <w:pStyle w:val="ListParagraph"/>
        <w:numPr>
          <w:ilvl w:val="0"/>
          <w:numId w:val="1"/>
        </w:numPr>
        <w:spacing w:after="60" w:before="60"/>
        <w:ind w:left="431" w:hanging="215"/>
      </w:pPr>
      <w:hyperlink w:history="1" r:id="rIdeggfecma0nlpjzloswi81">
        <w:r>
          <w:rPr>
            <w:rFonts w:ascii="Times New Roman" w:cs="Times New Roman" w:eastAsia="Times New Roman" w:hAnsi="Times New Roman"/>
            <w:color w:val="1155CC"/>
            <w:sz w:val="22"/>
            <w:szCs w:val="22"/>
            <w:u w:val="single"/>
          </w:rPr>
          <w:t xml:space="preserve">De Pascalis V. (2026) — Toward a Predictive Coding Account of Hypnotic Hypoalgesia — Brain Sciences (PMC13510804)</w:t>
        </w:r>
      </w:hyperlink>
      <w:r>
        <w:rPr>
          <w:rFonts w:ascii="Times New Roman" w:cs="Times New Roman" w:eastAsia="Times New Roman" w:hAnsi="Times New Roman"/>
          <w:color w:val="1F2937"/>
          <w:sz w:val="22"/>
          <w:szCs w:val="22"/>
        </w:rPr>
        <w:t xml:space="preserve"> — Synthèse EEG et potentiels évoqués somesthésiques dans l'analgésie hypnotique. DOI: 10.3390/brainsci16080779</w:t>
      </w:r>
    </w:p>
    <w:p>
      <w:pPr>
        <w:pStyle w:val="ListParagraph"/>
        <w:numPr>
          <w:ilvl w:val="0"/>
          <w:numId w:val="1"/>
        </w:numPr>
        <w:spacing w:after="60" w:before="60"/>
        <w:ind w:left="431" w:hanging="215"/>
      </w:pPr>
      <w:hyperlink w:history="1" r:id="rIdzncsei__aczml1ixrgs-2">
        <w:r>
          <w:rPr>
            <w:rFonts w:ascii="Times New Roman" w:cs="Times New Roman" w:eastAsia="Times New Roman" w:hAnsi="Times New Roman"/>
            <w:color w:val="1155CC"/>
            <w:sz w:val="22"/>
            <w:szCs w:val="22"/>
            <w:u w:val="single"/>
          </w:rPr>
          <w:t xml:space="preserve">Zhang Z et al. (2025) — Resting-state functional connectivity under hypnosis using fNIRS — Frontiers in Psychology (PMC12178158)</w:t>
        </w:r>
      </w:hyperlink>
      <w:r>
        <w:rPr>
          <w:rFonts w:ascii="Times New Roman" w:cs="Times New Roman" w:eastAsia="Times New Roman" w:hAnsi="Times New Roman"/>
          <w:color w:val="1F2937"/>
          <w:sz w:val="22"/>
          <w:szCs w:val="22"/>
        </w:rPr>
        <w:t xml:space="preserve"> — Étude fNIRS sur la connectivité préfrontale en état hypnotique (26 participants). DOI: 10.3389/fpsyg.2025.1567526</w:t>
      </w:r>
    </w:p>
    <w:p>
      <w:pPr>
        <w:pStyle w:val="ListParagraph"/>
        <w:numPr>
          <w:ilvl w:val="0"/>
          <w:numId w:val="1"/>
        </w:numPr>
        <w:spacing w:after="60" w:before="60"/>
        <w:ind w:left="431" w:hanging="215"/>
      </w:pPr>
      <w:hyperlink w:history="1" r:id="rIdzsdywsykkird48scq2b5r">
        <w:r>
          <w:rPr>
            <w:rFonts w:ascii="Times New Roman" w:cs="Times New Roman" w:eastAsia="Times New Roman" w:hAnsi="Times New Roman"/>
            <w:color w:val="1155CC"/>
            <w:sz w:val="22"/>
            <w:szCs w:val="22"/>
            <w:u w:val="single"/>
          </w:rPr>
          <w:t xml:space="preserve">Leo DG, Bruno D, Proietti R. (2025) — Hypnosis, memory recall and false memories — Frontiers in Psychology (PMC11832514)</w:t>
        </w:r>
      </w:hyperlink>
      <w:r>
        <w:rPr>
          <w:rFonts w:ascii="Times New Roman" w:cs="Times New Roman" w:eastAsia="Times New Roman" w:hAnsi="Times New Roman"/>
          <w:color w:val="1F2937"/>
          <w:sz w:val="22"/>
          <w:szCs w:val="22"/>
        </w:rPr>
        <w:t xml:space="preserve"> — Revue narrative sur hypnose et mémoire autobiographique, risques de faux souvenirs. DOI: 10.3389/fpsyg.2025.1433762</w:t>
      </w:r>
    </w:p>
    <w:p>
      <w:pPr>
        <w:pStyle w:val="ListParagraph"/>
        <w:numPr>
          <w:ilvl w:val="0"/>
          <w:numId w:val="1"/>
        </w:numPr>
        <w:spacing w:after="60" w:before="60"/>
        <w:ind w:left="431" w:hanging="215"/>
      </w:pPr>
      <w:hyperlink w:history="1" r:id="rIdawblx9bndevey5m_ftblo">
        <w:r>
          <w:rPr>
            <w:rFonts w:ascii="Times New Roman" w:cs="Times New Roman" w:eastAsia="Times New Roman" w:hAnsi="Times New Roman"/>
            <w:color w:val="1155CC"/>
            <w:sz w:val="22"/>
            <w:szCs w:val="22"/>
            <w:u w:val="single"/>
          </w:rPr>
          <w:t xml:space="preserve">Leo DG, Keller SS, Proietti R. (2024) — Hypnosis, anxiety and cardiovascular diseases — Frontiers in Psychology (PMC11258040)</w:t>
        </w:r>
      </w:hyperlink>
      <w:r>
        <w:rPr>
          <w:rFonts w:ascii="Times New Roman" w:cs="Times New Roman" w:eastAsia="Times New Roman" w:hAnsi="Times New Roman"/>
          <w:color w:val="1F2937"/>
          <w:sz w:val="22"/>
          <w:szCs w:val="22"/>
        </w:rPr>
        <w:t xml:space="preserve"> — Revue sur l'hypnose et la régulation de l'anxiété, implications cardiovasculaires. DOI: 10.3389/fpsyg.2024.1411835</w:t>
      </w:r>
    </w:p>
    <w:p>
      <w:pPr>
        <w:pStyle w:val="ListParagraph"/>
        <w:numPr>
          <w:ilvl w:val="0"/>
          <w:numId w:val="1"/>
        </w:numPr>
        <w:spacing w:after="60" w:before="60"/>
        <w:ind w:left="431" w:hanging="215"/>
      </w:pPr>
      <w:hyperlink w:history="1" r:id="rIdh7ov0stozfnctkgpirsj4">
        <w:r>
          <w:rPr>
            <w:rFonts w:ascii="Times New Roman" w:cs="Times New Roman" w:eastAsia="Times New Roman" w:hAnsi="Times New Roman"/>
            <w:color w:val="1155CC"/>
            <w:sz w:val="22"/>
            <w:szCs w:val="22"/>
            <w:u w:val="single"/>
          </w:rPr>
          <w:t xml:space="preserve">Chen M, Duran PJA, Lee TMC. (2026) — Suggestibility and intrinsic functional neural connectivity — Psychoradiology (PMC13559191)</w:t>
        </w:r>
      </w:hyperlink>
      <w:r>
        <w:rPr>
          <w:rFonts w:ascii="Times New Roman" w:cs="Times New Roman" w:eastAsia="Times New Roman" w:hAnsi="Times New Roman"/>
          <w:color w:val="1F2937"/>
          <w:sz w:val="22"/>
          <w:szCs w:val="22"/>
        </w:rPr>
        <w:t xml:space="preserve"> — Corrélats neurologiques de la suggestibilité : mémoire de travail et connectivité fonctionnelle. DOI: 10.1093/psyrad/kkag027</w:t>
      </w:r>
    </w:p>
    <w:p>
      <w:pPr>
        <w:pStyle w:val="ListParagraph"/>
        <w:numPr>
          <w:ilvl w:val="0"/>
          <w:numId w:val="1"/>
        </w:numPr>
        <w:spacing w:after="60" w:before="60"/>
        <w:ind w:left="431" w:hanging="215"/>
      </w:pPr>
      <w:hyperlink w:history="1" r:id="rIdwq-acc2ddfv_wkprb0xjm">
        <w:r>
          <w:rPr>
            <w:rFonts w:ascii="Times New Roman" w:cs="Times New Roman" w:eastAsia="Times New Roman" w:hAnsi="Times New Roman"/>
            <w:color w:val="1155CC"/>
            <w:sz w:val="22"/>
            <w:szCs w:val="22"/>
            <w:u w:val="single"/>
          </w:rPr>
          <w:t xml:space="preserve">Hypnosis — Wikipedia (section Neuroscience)</w:t>
        </w:r>
      </w:hyperlink>
      <w:r>
        <w:rPr>
          <w:rFonts w:ascii="Times New Roman" w:cs="Times New Roman" w:eastAsia="Times New Roman" w:hAnsi="Times New Roman"/>
          <w:color w:val="1F2937"/>
          <w:sz w:val="22"/>
          <w:szCs w:val="22"/>
        </w:rPr>
        <w:t xml:space="preserve"> — Synthèse accessible des données EEG, IRMf et hallucinations visuelles ; utile comme point d'entrée.</w:t>
      </w:r>
    </w:p>
    <w:p>
      <w:pPr>
        <w:pBdr>
          <w:bottom w:val="single" w:color="CCCCCC" w:sz="4"/>
        </w:pBdr>
        <w:spacing w:after="160" w:before="160"/>
      </w:pPr>
      <w:r>
        <w:t xml:space="preserve"/>
      </w:r>
    </w:p>
    <w:p>
      <w:pPr>
        <w:spacing w:after="120" w:before="300"/>
      </w:pPr>
      <w:r>
        <w:rPr>
          <w:rFonts w:ascii="Times New Roman" w:cs="Times New Roman" w:eastAsia="Times New Roman" w:hAnsi="Times New Roman"/>
          <w:b/>
          <w:bCs/>
          <w:color w:val="1B3A6B"/>
          <w:sz w:val="30"/>
          <w:szCs w:val="30"/>
        </w:rPr>
        <w:t xml:space="preserve">🔜 Prochaine leçon</w:t>
      </w:r>
    </w:p>
    <w:p>
      <w:pPr>
        <w:spacing w:after="80" w:before="80"/>
        <w:ind/>
      </w:pPr>
      <w:r>
        <w:rPr>
          <w:rFonts w:ascii="Times New Roman" w:cs="Times New Roman" w:eastAsia="Times New Roman" w:hAnsi="Times New Roman"/>
          <w:b w:val="false"/>
          <w:bCs w:val="false"/>
          <w:i w:val="false"/>
          <w:iCs w:val="false"/>
          <w:color w:val="1F2937"/>
          <w:sz w:val="22"/>
          <w:szCs w:val="22"/>
        </w:rPr>
        <w:t xml:space="preserve">Leçon 19 — Cadre éthique, déontologique et juridique en France.</w:t>
      </w:r>
    </w:p>
    <w:p>
      <w:pPr>
        <w:spacing w:after="80" w:before="80"/>
        <w:ind/>
      </w:pPr>
      <w:r>
        <w:rPr>
          <w:rFonts w:ascii="Times New Roman" w:cs="Times New Roman" w:eastAsia="Times New Roman" w:hAnsi="Times New Roman"/>
          <w:b w:val="false"/>
          <w:bCs w:val="false"/>
          <w:i w:val="false"/>
          <w:iCs w:val="false"/>
          <w:color w:val="1F2937"/>
          <w:sz w:val="22"/>
          <w:szCs w:val="22"/>
        </w:rPr>
        <w:t xml:space="preserve">Tu approfondiras : le vide partiel du cadre réglementaire français sur l'hypnose, les conditions légales de son exercice, les dérives documentées et les garde-fous existants — une leçon directement liée à la prudence que cette leçon 18 t'a invité à adopter face aux revendications non étayées.</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kgcejfyxghz2vzrxvw2jg" Type="http://schemas.openxmlformats.org/officeDocument/2006/relationships/hyperlink" Target="https://pmc.ncbi.nlm.nih.gov/articles/PMC13024316/" TargetMode="External"/><Relationship Id="rIdeggfecma0nlpjzloswi81" Type="http://schemas.openxmlformats.org/officeDocument/2006/relationships/hyperlink" Target="https://pmc.ncbi.nlm.nih.gov/articles/PMC13510804/" TargetMode="External"/><Relationship Id="rIdzncsei__aczml1ixrgs-2" Type="http://schemas.openxmlformats.org/officeDocument/2006/relationships/hyperlink" Target="https://pmc.ncbi.nlm.nih.gov/articles/PMC12178158/" TargetMode="External"/><Relationship Id="rIdzsdywsykkird48scq2b5r" Type="http://schemas.openxmlformats.org/officeDocument/2006/relationships/hyperlink" Target="https://pmc.ncbi.nlm.nih.gov/articles/PMC11832514/" TargetMode="External"/><Relationship Id="rIdawblx9bndevey5m_ftblo" Type="http://schemas.openxmlformats.org/officeDocument/2006/relationships/hyperlink" Target="https://pmc.ncbi.nlm.nih.gov/articles/PMC11258040/" TargetMode="External"/><Relationship Id="rIdh7ov0stozfnctkgpirsj4" Type="http://schemas.openxmlformats.org/officeDocument/2006/relationships/hyperlink" Target="https://pmc.ncbi.nlm.nih.gov/articles/PMC13559191/" TargetMode="External"/><Relationship Id="rIdwq-acc2ddfv_wkprb0xjm" Type="http://schemas.openxmlformats.org/officeDocument/2006/relationships/hyperlink" Target="https://en.wikipedia.org/wiki/Hypnosis" TargetMode="External"/><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Leçon Hypnose &amp; auto-hypnose n°18 — Ce que les neurosciences établissent — et ce qu'elles n'établissent pas</dc:title>
  <dc:creator>Claude Code — Parcours Hypnose</dc:creator>
  <cp:lastModifiedBy>Un-named</cp:lastModifiedBy>
  <cp:revision>1</cp:revision>
  <dcterms:created xsi:type="dcterms:W3CDTF">2026-10-13T07:09:45.862Z</dcterms:created>
  <dcterms:modified xsi:type="dcterms:W3CDTF">2026-10-13T07:09:45.887Z</dcterms:modified>
</cp:coreProperties>
</file>

<file path=docProps/custom.xml><?xml version="1.0" encoding="utf-8"?>
<Properties xmlns="http://schemas.openxmlformats.org/officeDocument/2006/custom-properties" xmlns:vt="http://schemas.openxmlformats.org/officeDocument/2006/docPropsVTypes"/>
</file>