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Fiche synthèse — Élaborer le PPA dans le DUI</w:t>
      </w:r>
    </w:p>
    <w:p>
      <w:pPr>
        <w:spacing w:after="5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Guide HAS (CSMS, 12 mai 2026) · support de réunion d'équipe</w:t>
      </w:r>
    </w:p>
    <w:p>
      <w:pPr>
        <w:spacing w:after="14" w:before="1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En 1 phrase : co-construire avec la personne un PPA dynamique et cyclique, structuré dans le DUI, en développant son autodétermination et en sécurisant le partage d'informations entre professionnels.</w:t>
      </w:r>
    </w:p>
    <w:p>
      <w:pPr>
        <w:spacing w:after="26" w:before="7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Le PPA en 10 étapes (chapitre 1)</w:t>
      </w:r>
    </w:p>
    <w:p>
      <w:pPr>
        <w:spacing w:after="5" w:before="5"/>
      </w:pP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1. Informer la personne &amp; recueillir son consentement (ou son refus)</w:t>
      </w:r>
      <w:r>
        <w:rPr>
          <w:rFonts w:ascii="Calibri" w:cs="Calibri" w:eastAsia="Calibri" w:hAnsi="Calibri"/>
          <w:b w:val="false"/>
          <w:bCs w:val="false"/>
          <w:color w:val="999999"/>
          <w:sz w:val="16"/>
          <w:szCs w:val="16"/>
        </w:rPr>
        <w:t xml:space="preserve">   ·   </w:t>
      </w: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2. Recueillir les besoins, attentes &amp; désirs</w:t>
      </w:r>
    </w:p>
    <w:p>
      <w:pPr>
        <w:spacing w:after="5" w:before="5"/>
      </w:pP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3. Centraliser les informations des professionnels</w:t>
      </w:r>
      <w:r>
        <w:rPr>
          <w:rFonts w:ascii="Calibri" w:cs="Calibri" w:eastAsia="Calibri" w:hAnsi="Calibri"/>
          <w:b w:val="false"/>
          <w:bCs w:val="false"/>
          <w:color w:val="999999"/>
          <w:sz w:val="16"/>
          <w:szCs w:val="16"/>
        </w:rPr>
        <w:t xml:space="preserve">   ·   </w:t>
      </w: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4. Analyser &amp; co-construire le PPA</w:t>
      </w:r>
    </w:p>
    <w:p>
      <w:pPr>
        <w:spacing w:after="5" w:before="5"/>
      </w:pP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5. Élaborer les objectifs &amp; programmer les actions</w:t>
      </w:r>
      <w:r>
        <w:rPr>
          <w:rFonts w:ascii="Calibri" w:cs="Calibri" w:eastAsia="Calibri" w:hAnsi="Calibri"/>
          <w:b w:val="false"/>
          <w:bCs w:val="false"/>
          <w:color w:val="999999"/>
          <w:sz w:val="16"/>
          <w:szCs w:val="16"/>
        </w:rPr>
        <w:t xml:space="preserve">   ·   </w:t>
      </w: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6. Co-valider le PPA &amp; formaliser l'accord</w:t>
      </w:r>
    </w:p>
    <w:p>
      <w:pPr>
        <w:spacing w:after="5" w:before="5"/>
      </w:pP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7. Réviser le PPA</w:t>
      </w:r>
      <w:r>
        <w:rPr>
          <w:rFonts w:ascii="Calibri" w:cs="Calibri" w:eastAsia="Calibri" w:hAnsi="Calibri"/>
          <w:b w:val="false"/>
          <w:bCs w:val="false"/>
          <w:color w:val="999999"/>
          <w:sz w:val="16"/>
          <w:szCs w:val="16"/>
        </w:rPr>
        <w:t xml:space="preserve">   ·   </w:t>
      </w: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8. Échanger &amp; partager les informations (dont Mon espace santé)</w:t>
      </w:r>
    </w:p>
    <w:p>
      <w:pPr>
        <w:spacing w:after="5" w:before="5"/>
      </w:pP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9. Co-évaluer &amp; actualiser (indicateurs/résultats attendus)</w:t>
      </w:r>
      <w:r>
        <w:rPr>
          <w:rFonts w:ascii="Calibri" w:cs="Calibri" w:eastAsia="Calibri" w:hAnsi="Calibri"/>
          <w:b w:val="false"/>
          <w:bCs w:val="false"/>
          <w:color w:val="999999"/>
          <w:sz w:val="16"/>
          <w:szCs w:val="16"/>
        </w:rPr>
        <w:t xml:space="preserve">   ·   </w:t>
      </w:r>
      <w:r>
        <w:rPr>
          <w:rFonts w:ascii="Calibri" w:cs="Calibri" w:eastAsia="Calibri" w:hAnsi="Calibri"/>
          <w:b w:val="false"/>
          <w:bCs w:val="false"/>
          <w:color w:val="1F2937"/>
          <w:sz w:val="16"/>
          <w:szCs w:val="16"/>
        </w:rPr>
        <w:t xml:space="preserve">10. Protéger les données (conservation, archivage, droits d'opposition/rectification)</w:t>
      </w:r>
    </w:p>
    <w:p>
      <w:pPr>
        <w:spacing w:after="26" w:before="7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Points clés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Consentement (ou refus) recueilli ET tracé dès le départ ; besoins, attentes ET désirs.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Le numérique est un MOYEN : un PPA dynamique/cyclique, pas un « document plat ».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Partage encadré (équipe de soins, L.1110-12 CSP) ; alimentation possible de Mon espace santé.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Objectif national : PPA harmonisé intégré au CI-SIS (interopérabilité).</w:t>
      </w:r>
    </w:p>
    <w:p>
      <w:pPr>
        <w:spacing w:after="26" w:before="7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À FAIRE ✅ / À ÉVITER ⛔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0B7A3B"/>
          <w:sz w:val="17"/>
          <w:szCs w:val="17"/>
        </w:rPr>
        <w:t xml:space="preserve">✅ Recueillir/respecter la parole de la personne ; objectifs évaluables ; réviser régulièrement.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0B7A3B"/>
          <w:sz w:val="17"/>
          <w:szCs w:val="17"/>
        </w:rPr>
        <w:t xml:space="preserve">✅ Saisir une information utile, à jour, fiable ; accès limités au besoin d'en connaître.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B3261E"/>
          <w:sz w:val="17"/>
          <w:szCs w:val="17"/>
        </w:rPr>
        <w:t xml:space="preserve">⛔ Réduire le PPA à des cases ; pré-remplir ; partager « tout le dossier » par confort.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B3261E"/>
          <w:sz w:val="17"/>
          <w:szCs w:val="17"/>
        </w:rPr>
        <w:t xml:space="preserve">⛔ Conserver les données sans limite ; ne pas tracer le consentement.</w:t>
      </w:r>
    </w:p>
    <w:p>
      <w:pPr>
        <w:spacing w:after="26" w:before="7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Vigilance ESSMS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RGPD/HDS : données sensibles → minimisation, durées, droits d'opposition/rectification, DPO.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Éditeur DUI (Imago) : aligner la structuration sur le guide HAS · Atout évaluation HAS &amp; SERAFIN-PH.</w:t>
      </w:r>
    </w:p>
    <w:p>
      <w:pPr>
        <w:spacing w:after="26" w:before="7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Check-list équipe (pour chaque PPA)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☐ Personne informée &amp; consentement tracé ? ☐ Besoins/attentes/désirs recueillis ? ☐ Objectifs évaluables &amp; actions programmées ?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☐ PPA co-validé &amp; accord formalisé ? ☐ Info à jour/fiable dans le DUI ? ☐ Accès limités ? ☐ Co-évaluation &amp; prochaine actualisation planifiées ?</w:t>
      </w:r>
    </w:p>
    <w:p>
      <w:pPr>
        <w:spacing w:before="50"/>
        <w:jc w:val="center"/>
      </w:pPr>
      <w:r>
        <w:rPr>
          <w:rFonts w:ascii="Calibri" w:cs="Calibri" w:eastAsia="Calibri" w:hAnsi="Calibri"/>
          <w:b w:val="false"/>
          <w:bCs w:val="false"/>
          <w:color w:val="999999"/>
          <w:sz w:val="14"/>
          <w:szCs w:val="14"/>
        </w:rPr>
        <w:t xml:space="preserve">Source : guide HAS complet (p_3604128) · fiche produite le 27/06/2026</w:t>
      </w:r>
    </w:p>
    <w:sectPr>
      <w:pgSz w:w="11906" w:h="16838" w:orient="portrait"/>
      <w:pgMar w:top="560" w:right="680" w:bottom="4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2026-06-27T13:22:33.282Z</dcterms:created>
  <dcterms:modified xsi:type="dcterms:W3CDTF">2026-06-27T13:22:33.282Z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