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6B"/>
          <w:sz w:val="36"/>
          <w:szCs w:val="36"/>
        </w:rPr>
        <w:t xml:space="preserve">VEILLE HAS — RBPP</w:t>
      </w:r>
    </w:p>
    <w:p>
      <w:pPr>
        <w:spacing w:after="40"/>
        <w:jc w:val="center"/>
      </w:pPr>
      <w:r>
        <w:rPr>
          <w:rFonts w:ascii="Calibri" w:cs="Calibri" w:eastAsia="Calibri" w:hAnsi="Calibri"/>
          <w:b/>
          <w:bCs/>
          <w:color w:val="1B3A6B"/>
          <w:sz w:val="36"/>
          <w:szCs w:val="36"/>
        </w:rPr>
        <w:t xml:space="preserve">Trouble du spectre de l'autisme : interventions et parcours de vie du nourrisson, de l'enfant et de l'adolescent</w:t>
      </w:r>
    </w:p>
    <w:p>
      <w:pPr>
        <w:spacing w:after="80"/>
        <w:jc w:val="center"/>
      </w:pPr>
      <w:r>
        <w:rPr>
          <w:rFonts w:ascii="Calibri" w:cs="Calibri" w:eastAsia="Calibri" w:hAnsi="Calibri"/>
          <w:i/>
          <w:iCs/>
          <w:color w:val="6B7280"/>
          <w:sz w:val="20"/>
          <w:szCs w:val="20"/>
        </w:rPr>
        <w:t xml:space="preserve">Haute Autorité de Santé — Publication : 12 février 2026 — Validation : 8 janvier 2026</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Informations générales</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000"/>
        <w:gridCol w:w="7906"/>
      </w:tblGrid>
      <w:tr>
        <w:tc>
          <w:tcPr>
            <w:tcW w:type="dxa" w:w="3000"/>
            <w:tcBorders>
              <w:top w:val="single" w:color="D1D5DB" w:sz="4"/>
              <w:left w:val="single" w:color="D1D5DB" w:sz="4"/>
              <w:bottom w:val="single" w:color="D1D5DB" w:sz="4"/>
              <w:right w:val="single" w:color="D1D5DB" w:sz="4"/>
            </w:tcBorders>
            <w:shd w:fill="1B3A6B" w:val="clear"/>
            <w:tcMar>
              <w:top w:type="dxa" w:w="40"/>
              <w:left w:type="dxa" w:w="100"/>
              <w:bottom w:type="dxa" w:w="40"/>
              <w:right w:type="dxa" w:w="100"/>
            </w:tcMar>
            <w:vAlign w:val="top"/>
          </w:tcPr>
          <w:p>
            <w:r>
              <w:rPr>
                <w:rFonts w:ascii="Calibri" w:cs="Calibri" w:eastAsia="Calibri" w:hAnsi="Calibri"/>
                <w:b/>
                <w:bCs/>
                <w:color w:val="FFFFFF"/>
                <w:sz w:val="20"/>
                <w:szCs w:val="20"/>
              </w:rPr>
              <w:t xml:space="preserve">Thème</w:t>
            </w:r>
          </w:p>
        </w:tc>
        <w:tc>
          <w:tcPr>
            <w:tcW w:type="dxa" w:w="7906"/>
            <w:tcBorders>
              <w:top w:val="single" w:color="D1D5DB" w:sz="4"/>
              <w:left w:val="single" w:color="D1D5DB" w:sz="4"/>
              <w:bottom w:val="single" w:color="D1D5DB" w:sz="4"/>
              <w:right w:val="single" w:color="D1D5DB" w:sz="4"/>
            </w:tcBorders>
            <w:shd w:fill="1B3A6B" w:val="clear"/>
            <w:tcMar>
              <w:top w:type="dxa" w:w="40"/>
              <w:left w:type="dxa" w:w="100"/>
              <w:bottom w:type="dxa" w:w="40"/>
              <w:right w:type="dxa" w:w="100"/>
            </w:tcMar>
            <w:vAlign w:val="top"/>
          </w:tcPr>
          <w:p>
            <w:r>
              <w:rPr>
                <w:rFonts w:ascii="Calibri" w:cs="Calibri" w:eastAsia="Calibri" w:hAnsi="Calibri"/>
                <w:b/>
                <w:bCs/>
                <w:color w:val="FFFFFF"/>
                <w:sz w:val="20"/>
                <w:szCs w:val="20"/>
              </w:rPr>
              <w:t xml:space="preserve">Point clé</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Date de publication</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12 février 2026 (validation : 8 janvier 2026)</w:t>
            </w:r>
          </w:p>
        </w:tc>
      </w:tr>
      <w:tr>
        <w:tc>
          <w:tcPr>
            <w:tcW w:type="dxa" w:w="3000"/>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Type de document</w:t>
            </w:r>
          </w:p>
        </w:tc>
        <w:tc>
          <w:tcPr>
            <w:tcW w:type="dxa" w:w="7906"/>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Recommandation de Bonne Pratique Professionnelle (RBPP)</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Public cible</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Professionnels de santé, secteur médico-social, établissements scolaires, Protection de l'enfance, familles</w:t>
            </w:r>
          </w:p>
        </w:tc>
      </w:tr>
      <w:tr>
        <w:tc>
          <w:tcPr>
            <w:tcW w:type="dxa" w:w="3000"/>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Organisme émetteur</w:t>
            </w:r>
          </w:p>
        </w:tc>
        <w:tc>
          <w:tcPr>
            <w:tcW w:type="dxa" w:w="7906"/>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Haute Autorité de Santé (HAS)</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Champ d'application</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Nourrissons, enfants et adolescents avec TSA, en ESSMS et structures sanitaires</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Résumé exécutif</w:t>
      </w:r>
    </w:p>
    <w:p>
      <w:pPr>
        <w:spacing w:after="40"/>
      </w:pPr>
      <w:r>
        <w:rPr>
          <w:rFonts w:ascii="Calibri" w:cs="Calibri" w:eastAsia="Calibri" w:hAnsi="Calibri"/>
          <w:color w:val="1F2937"/>
          <w:sz w:val="22"/>
          <w:szCs w:val="22"/>
        </w:rPr>
        <w:t xml:space="preserve">Cette recommandation de bonne pratique professionnelle actualise celle de 2012 sur le TSA chez l'enfant et l'adolescent. Elle vise à améliorer la qualité des interventions proposées aux enfants et adolescents autistes, afin de leur permettre un parcours de vie cohérent et de qualité. Le document couvre l'évaluation du fonctionnement, le soutien familial, les interventions développementales et comportementales, la scolarisation, le suivi médical, la transition vers l'âge adulte et la gestion des comportements-problèmes.</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clés par thème</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000"/>
        <w:gridCol w:w="7906"/>
      </w:tblGrid>
      <w:tr>
        <w:tc>
          <w:tcPr>
            <w:tcW w:type="dxa" w:w="3000"/>
            <w:tcBorders>
              <w:top w:val="single" w:color="D1D5DB" w:sz="4"/>
              <w:left w:val="single" w:color="D1D5DB" w:sz="4"/>
              <w:bottom w:val="single" w:color="D1D5DB" w:sz="4"/>
              <w:right w:val="single" w:color="D1D5DB" w:sz="4"/>
            </w:tcBorders>
            <w:shd w:fill="1B3A6B" w:val="clear"/>
            <w:tcMar>
              <w:top w:type="dxa" w:w="40"/>
              <w:left w:type="dxa" w:w="100"/>
              <w:bottom w:type="dxa" w:w="40"/>
              <w:right w:type="dxa" w:w="100"/>
            </w:tcMar>
            <w:vAlign w:val="top"/>
          </w:tcPr>
          <w:p>
            <w:r>
              <w:rPr>
                <w:rFonts w:ascii="Calibri" w:cs="Calibri" w:eastAsia="Calibri" w:hAnsi="Calibri"/>
                <w:b/>
                <w:bCs/>
                <w:color w:val="FFFFFF"/>
                <w:sz w:val="20"/>
                <w:szCs w:val="20"/>
              </w:rPr>
              <w:t xml:space="preserve">Thème</w:t>
            </w:r>
          </w:p>
        </w:tc>
        <w:tc>
          <w:tcPr>
            <w:tcW w:type="dxa" w:w="7906"/>
            <w:tcBorders>
              <w:top w:val="single" w:color="D1D5DB" w:sz="4"/>
              <w:left w:val="single" w:color="D1D5DB" w:sz="4"/>
              <w:bottom w:val="single" w:color="D1D5DB" w:sz="4"/>
              <w:right w:val="single" w:color="D1D5DB" w:sz="4"/>
            </w:tcBorders>
            <w:shd w:fill="1B3A6B" w:val="clear"/>
            <w:tcMar>
              <w:top w:type="dxa" w:w="40"/>
              <w:left w:type="dxa" w:w="100"/>
              <w:bottom w:type="dxa" w:w="40"/>
              <w:right w:type="dxa" w:w="100"/>
            </w:tcMar>
            <w:vAlign w:val="top"/>
          </w:tcPr>
          <w:p>
            <w:r>
              <w:rPr>
                <w:rFonts w:ascii="Calibri" w:cs="Calibri" w:eastAsia="Calibri" w:hAnsi="Calibri"/>
                <w:b/>
                <w:bCs/>
                <w:color w:val="FFFFFF"/>
                <w:sz w:val="20"/>
                <w:szCs w:val="20"/>
              </w:rPr>
              <w:t xml:space="preserve">Point clé</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Évaluation du fonctionnement</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Approche multidimensionnelle, pluriprofessionnelle et régulière. Observations partagées entre parents et professionnels. Base essentielle pour personnaliser l'accompagnement.</w:t>
            </w:r>
          </w:p>
        </w:tc>
      </w:tr>
      <w:tr>
        <w:tc>
          <w:tcPr>
            <w:tcW w:type="dxa" w:w="3000"/>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Soutien aux familles</w:t>
            </w:r>
          </w:p>
        </w:tc>
        <w:tc>
          <w:tcPr>
            <w:tcW w:type="dxa" w:w="7906"/>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Guidance parentale, psychoéducation, éducation thérapeutique, groupes d'entraide, pair-aidance, dispositifs de répit.</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Interventions précoces</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Début précoce dès les interrogations diagnostiques. Approches développementales et comportementales. Domaines : autonomie, communication, habiletés sociales, sensorialité, motricité.</w:t>
            </w:r>
          </w:p>
        </w:tc>
      </w:tr>
      <w:tr>
        <w:tc>
          <w:tcPr>
            <w:tcW w:type="dxa" w:w="3000"/>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Communication augmentée</w:t>
            </w:r>
          </w:p>
        </w:tc>
        <w:tc>
          <w:tcPr>
            <w:tcW w:type="dxa" w:w="7906"/>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La Communication Alternative et Améliorée (CAA) est un pilier essentiel du projet global. Adaptation environnementale des espaces et de la temporalité.</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Scolarisation</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Coordination étroite professionnels-soins-parents. Formation et soutien des acteurs scolaires. Accès aux loisirs et à la culture encouragé.</w:t>
            </w:r>
          </w:p>
        </w:tc>
      </w:tr>
      <w:tr>
        <w:tc>
          <w:tcPr>
            <w:tcW w:type="dxa" w:w="3000"/>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Suivi médical</w:t>
            </w:r>
          </w:p>
        </w:tc>
        <w:tc>
          <w:tcPr>
            <w:tcW w:type="dxa" w:w="7906"/>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Vigilance aux comorbidités : épilepsie, troubles du sommeil, alimentation. Prescription de psychotropes strictement encadrée et surveillée.</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Transition vers l'âge adulte</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Vigilance renforcée sur les comorbidités psychiatriques à l'adolescence. Transmission coordonnée des informations vers les structures adultes.</w:t>
            </w:r>
          </w:p>
        </w:tc>
      </w:tr>
      <w:tr>
        <w:tc>
          <w:tcPr>
            <w:tcW w:type="dxa" w:w="3000"/>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Autisme à besoins intensifs</w:t>
            </w:r>
          </w:p>
        </w:tc>
        <w:tc>
          <w:tcPr>
            <w:tcW w:type="dxa" w:w="7906"/>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Reconnaissance des besoins spécifiques, intensifs, constants et globaux d'accompagnement pour le 'Profound Autism'.</w:t>
            </w:r>
          </w:p>
        </w:tc>
      </w:tr>
      <w:tr>
        <w:tc>
          <w:tcPr>
            <w:tcW w:type="dxa" w:w="3000"/>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Comportements-problèmes</w:t>
            </w:r>
          </w:p>
        </w:tc>
        <w:tc>
          <w:tcPr>
            <w:tcW w:type="dxa" w:w="7906"/>
            <w:tcBorders>
              <w:top w:val="single" w:color="D1D5DB" w:sz="4"/>
              <w:left w:val="single" w:color="D1D5DB" w:sz="4"/>
              <w:bottom w:val="single" w:color="D1D5DB" w:sz="4"/>
              <w:right w:val="single" w:color="D1D5DB" w:sz="4"/>
            </w:tcBorders>
            <w:shd w:fill="FFFFFF"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Approche structurée : bilan médical + analyse fonctionnelle + interventions comportementales.</w:t>
            </w:r>
          </w:p>
        </w:tc>
      </w:tr>
      <w:tr>
        <w:tc>
          <w:tcPr>
            <w:tcW w:type="dxa" w:w="3000"/>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Formation professionnelle</w:t>
            </w:r>
          </w:p>
        </w:tc>
        <w:tc>
          <w:tcPr>
            <w:tcW w:type="dxa" w:w="7906"/>
            <w:tcBorders>
              <w:top w:val="single" w:color="D1D5DB" w:sz="4"/>
              <w:left w:val="single" w:color="D1D5DB" w:sz="4"/>
              <w:bottom w:val="single" w:color="D1D5DB" w:sz="4"/>
              <w:right w:val="single" w:color="D1D5DB" w:sz="4"/>
            </w:tcBorders>
            <w:shd w:fill="EEF2F7" w:val="clear"/>
            <w:tcMar>
              <w:top w:type="dxa" w:w="40"/>
              <w:left w:type="dxa" w:w="100"/>
              <w:bottom w:type="dxa" w:w="40"/>
              <w:right w:type="dxa" w:w="100"/>
            </w:tcMar>
            <w:vAlign w:val="top"/>
          </w:tcPr>
          <w:p>
            <w:r>
              <w:rPr>
                <w:rFonts w:ascii="Calibri" w:cs="Calibri" w:eastAsia="Calibri" w:hAnsi="Calibri"/>
                <w:b w:val="false"/>
                <w:bCs w:val="false"/>
                <w:color w:val="1F2937"/>
                <w:sz w:val="20"/>
                <w:szCs w:val="20"/>
              </w:rPr>
              <w:t xml:space="preserve">Applicable à toutes les formations initiales et continues. Supervision des pratiques comme levier de formation continue.</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7 axes principaux de la recommandation</w:t>
      </w:r>
    </w:p>
    <w:p>
      <w:pPr>
        <w:spacing w:after="40"/>
      </w:pPr>
      <w:r>
        <w:rPr>
          <w:rFonts w:ascii="Calibri" w:cs="Calibri" w:eastAsia="Calibri" w:hAnsi="Calibri"/>
          <w:color w:val="1F2937"/>
          <w:sz w:val="22"/>
          <w:szCs w:val="22"/>
        </w:rPr>
        <w:t xml:space="preserve">L'organisation des recommandations s'articule autour de 7 axes majeurs :</w:t>
      </w:r>
    </w:p>
    <w:p>
      <w:pPr>
        <w:pStyle w:val="ListParagraph"/>
        <w:numPr>
          <w:ilvl w:val="0"/>
          <w:numId w:val="2"/>
        </w:numPr>
        <w:spacing w:after="40"/>
      </w:pPr>
      <w:r>
        <w:rPr>
          <w:rFonts w:ascii="Calibri" w:cs="Calibri" w:eastAsia="Calibri" w:hAnsi="Calibri"/>
          <w:color w:val="1F2937"/>
          <w:sz w:val="22"/>
          <w:szCs w:val="22"/>
        </w:rPr>
        <w:t xml:space="preserve">Axe 1 — Évaluation multidimensionnelle et pluriprofessionnelle du fonctionnement de l'enfant</w:t>
      </w:r>
    </w:p>
    <w:p>
      <w:pPr>
        <w:pStyle w:val="ListParagraph"/>
        <w:numPr>
          <w:ilvl w:val="0"/>
          <w:numId w:val="2"/>
        </w:numPr>
        <w:spacing w:after="40"/>
      </w:pPr>
      <w:r>
        <w:rPr>
          <w:rFonts w:ascii="Calibri" w:cs="Calibri" w:eastAsia="Calibri" w:hAnsi="Calibri"/>
          <w:color w:val="1F2937"/>
          <w:sz w:val="22"/>
          <w:szCs w:val="22"/>
        </w:rPr>
        <w:t xml:space="preserve">Axe 2 — Soutien et formation des familles tout au long du parcours</w:t>
      </w:r>
    </w:p>
    <w:p>
      <w:pPr>
        <w:pStyle w:val="ListParagraph"/>
        <w:numPr>
          <w:ilvl w:val="0"/>
          <w:numId w:val="2"/>
        </w:numPr>
        <w:spacing w:after="40"/>
      </w:pPr>
      <w:r>
        <w:rPr>
          <w:rFonts w:ascii="Calibri" w:cs="Calibri" w:eastAsia="Calibri" w:hAnsi="Calibri"/>
          <w:color w:val="1F2937"/>
          <w:sz w:val="22"/>
          <w:szCs w:val="22"/>
        </w:rPr>
        <w:t xml:space="preserve">Axe 3 — Interventions précoces, globales et personnalisées (développementales et comportementales)</w:t>
      </w:r>
    </w:p>
    <w:p>
      <w:pPr>
        <w:pStyle w:val="ListParagraph"/>
        <w:numPr>
          <w:ilvl w:val="0"/>
          <w:numId w:val="2"/>
        </w:numPr>
        <w:spacing w:after="40"/>
      </w:pPr>
      <w:r>
        <w:rPr>
          <w:rFonts w:ascii="Calibri" w:cs="Calibri" w:eastAsia="Calibri" w:hAnsi="Calibri"/>
          <w:color w:val="1F2937"/>
          <w:sz w:val="22"/>
          <w:szCs w:val="22"/>
        </w:rPr>
        <w:t xml:space="preserve">Axe 4 — Coordination éducation-santé-médico-social et accès aux activités ordinaires</w:t>
      </w:r>
    </w:p>
    <w:p>
      <w:pPr>
        <w:pStyle w:val="ListParagraph"/>
        <w:numPr>
          <w:ilvl w:val="0"/>
          <w:numId w:val="2"/>
        </w:numPr>
        <w:spacing w:after="40"/>
      </w:pPr>
      <w:r>
        <w:rPr>
          <w:rFonts w:ascii="Calibri" w:cs="Calibri" w:eastAsia="Calibri" w:hAnsi="Calibri"/>
          <w:color w:val="1F2937"/>
          <w:sz w:val="22"/>
          <w:szCs w:val="22"/>
        </w:rPr>
        <w:t xml:space="preserve">Axe 5 — Suivi médical régulier et vigilance aux comorbidités</w:t>
      </w:r>
    </w:p>
    <w:p>
      <w:pPr>
        <w:pStyle w:val="ListParagraph"/>
        <w:numPr>
          <w:ilvl w:val="0"/>
          <w:numId w:val="2"/>
        </w:numPr>
        <w:spacing w:after="40"/>
      </w:pPr>
      <w:r>
        <w:rPr>
          <w:rFonts w:ascii="Calibri" w:cs="Calibri" w:eastAsia="Calibri" w:hAnsi="Calibri"/>
          <w:color w:val="1F2937"/>
          <w:sz w:val="22"/>
          <w:szCs w:val="22"/>
        </w:rPr>
        <w:t xml:space="preserve">Axe 6 — Transition vers l'âge adulte : anticipation et continuité</w:t>
      </w:r>
    </w:p>
    <w:p>
      <w:pPr>
        <w:pStyle w:val="ListParagraph"/>
        <w:numPr>
          <w:ilvl w:val="0"/>
          <w:numId w:val="2"/>
        </w:numPr>
        <w:spacing w:after="40"/>
      </w:pPr>
      <w:r>
        <w:rPr>
          <w:rFonts w:ascii="Calibri" w:cs="Calibri" w:eastAsia="Calibri" w:hAnsi="Calibri"/>
          <w:color w:val="1F2937"/>
          <w:sz w:val="22"/>
          <w:szCs w:val="22"/>
        </w:rPr>
        <w:t xml:space="preserve">Axe 7 — Gestion des comportements-problèmes : approche fonctionnelle et bientraitante</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Recommandations principales pour les ESSMS</w:t>
      </w:r>
    </w:p>
    <w:p>
      <w:pPr>
        <w:pStyle w:val="ListParagraph"/>
        <w:numPr>
          <w:ilvl w:val="0"/>
          <w:numId w:val="2"/>
        </w:numPr>
        <w:spacing w:after="40"/>
      </w:pPr>
      <w:r>
        <w:rPr>
          <w:rFonts w:ascii="Calibri" w:cs="Calibri" w:eastAsia="Calibri" w:hAnsi="Calibri"/>
          <w:color w:val="1F2937"/>
          <w:sz w:val="22"/>
          <w:szCs w:val="22"/>
        </w:rPr>
        <w:t xml:space="preserve">Mettre en place une évaluation pluriprofessionnelle régulière et documentée du fonctionnement de chaque personne accompagnée</w:t>
      </w:r>
    </w:p>
    <w:p>
      <w:pPr>
        <w:pStyle w:val="ListParagraph"/>
        <w:numPr>
          <w:ilvl w:val="0"/>
          <w:numId w:val="2"/>
        </w:numPr>
        <w:spacing w:after="40"/>
      </w:pPr>
      <w:r>
        <w:rPr>
          <w:rFonts w:ascii="Calibri" w:cs="Calibri" w:eastAsia="Calibri" w:hAnsi="Calibri"/>
          <w:color w:val="1F2937"/>
          <w:sz w:val="22"/>
          <w:szCs w:val="22"/>
        </w:rPr>
        <w:t xml:space="preserve">Impliquer activement les familles dans tous les processus de décision et d'accompagnement</w:t>
      </w:r>
    </w:p>
    <w:p>
      <w:pPr>
        <w:pStyle w:val="ListParagraph"/>
        <w:numPr>
          <w:ilvl w:val="0"/>
          <w:numId w:val="2"/>
        </w:numPr>
        <w:spacing w:after="40"/>
      </w:pPr>
      <w:r>
        <w:rPr>
          <w:rFonts w:ascii="Calibri" w:cs="Calibri" w:eastAsia="Calibri" w:hAnsi="Calibri"/>
          <w:color w:val="1F2937"/>
          <w:sz w:val="22"/>
          <w:szCs w:val="22"/>
        </w:rPr>
        <w:t xml:space="preserve">Proposer systématiquement la Communication Alternative et Améliorée (CAA) lorsque la communication verbale est limitée</w:t>
      </w:r>
    </w:p>
    <w:p>
      <w:pPr>
        <w:pStyle w:val="ListParagraph"/>
        <w:numPr>
          <w:ilvl w:val="0"/>
          <w:numId w:val="2"/>
        </w:numPr>
        <w:spacing w:after="40"/>
      </w:pPr>
      <w:r>
        <w:rPr>
          <w:rFonts w:ascii="Calibri" w:cs="Calibri" w:eastAsia="Calibri" w:hAnsi="Calibri"/>
          <w:color w:val="1F2937"/>
          <w:sz w:val="22"/>
          <w:szCs w:val="22"/>
        </w:rPr>
        <w:t xml:space="preserve">Anticiper et adapter les environnements (espaces, temporalité, sensorialité) aux besoins des personnes</w:t>
      </w:r>
    </w:p>
    <w:p>
      <w:pPr>
        <w:pStyle w:val="ListParagraph"/>
        <w:numPr>
          <w:ilvl w:val="0"/>
          <w:numId w:val="2"/>
        </w:numPr>
        <w:spacing w:after="40"/>
      </w:pPr>
      <w:r>
        <w:rPr>
          <w:rFonts w:ascii="Calibri" w:cs="Calibri" w:eastAsia="Calibri" w:hAnsi="Calibri"/>
          <w:color w:val="1F2937"/>
          <w:sz w:val="22"/>
          <w:szCs w:val="22"/>
        </w:rPr>
        <w:t xml:space="preserve">Assurer le suivi des comorbidités, notamment psychiatriques à l'adolescence</w:t>
      </w:r>
    </w:p>
    <w:p>
      <w:pPr>
        <w:pStyle w:val="ListParagraph"/>
        <w:numPr>
          <w:ilvl w:val="0"/>
          <w:numId w:val="2"/>
        </w:numPr>
        <w:spacing w:after="40"/>
      </w:pPr>
      <w:r>
        <w:rPr>
          <w:rFonts w:ascii="Calibri" w:cs="Calibri" w:eastAsia="Calibri" w:hAnsi="Calibri"/>
          <w:color w:val="1F2937"/>
          <w:sz w:val="22"/>
          <w:szCs w:val="22"/>
        </w:rPr>
        <w:t xml:space="preserve">Encadrer strictement la prescription de psychotropes, avec réévaluation régulière documentée</w:t>
      </w:r>
    </w:p>
    <w:p>
      <w:pPr>
        <w:pStyle w:val="ListParagraph"/>
        <w:numPr>
          <w:ilvl w:val="0"/>
          <w:numId w:val="2"/>
        </w:numPr>
        <w:spacing w:after="40"/>
      </w:pPr>
      <w:r>
        <w:rPr>
          <w:rFonts w:ascii="Calibri" w:cs="Calibri" w:eastAsia="Calibri" w:hAnsi="Calibri"/>
          <w:color w:val="1F2937"/>
          <w:sz w:val="22"/>
          <w:szCs w:val="22"/>
        </w:rPr>
        <w:t xml:space="preserve">Préparer activement la transition vers les structures adultes dès l'adolescence</w:t>
      </w:r>
    </w:p>
    <w:p>
      <w:pPr>
        <w:pStyle w:val="ListParagraph"/>
        <w:numPr>
          <w:ilvl w:val="0"/>
          <w:numId w:val="2"/>
        </w:numPr>
        <w:spacing w:after="40"/>
      </w:pPr>
      <w:r>
        <w:rPr>
          <w:rFonts w:ascii="Calibri" w:cs="Calibri" w:eastAsia="Calibri" w:hAnsi="Calibri"/>
          <w:color w:val="1F2937"/>
          <w:sz w:val="22"/>
          <w:szCs w:val="22"/>
        </w:rPr>
        <w:t xml:space="preserve">Développer la formation continue de toutes les équipes en TSA</w:t>
      </w:r>
    </w:p>
    <w:p>
      <w:pPr>
        <w:pStyle w:val="ListParagraph"/>
        <w:numPr>
          <w:ilvl w:val="0"/>
          <w:numId w:val="2"/>
        </w:numPr>
        <w:spacing w:after="40"/>
      </w:pPr>
      <w:r>
        <w:rPr>
          <w:rFonts w:ascii="Calibri" w:cs="Calibri" w:eastAsia="Calibri" w:hAnsi="Calibri"/>
          <w:color w:val="1F2937"/>
          <w:sz w:val="22"/>
          <w:szCs w:val="22"/>
        </w:rPr>
        <w:t xml:space="preserve">Coordonner les interventions entre services (éducation, santé, protection de l'enfance)</w:t>
      </w:r>
    </w:p>
    <w:p>
      <w:pPr>
        <w:pStyle w:val="ListParagraph"/>
        <w:numPr>
          <w:ilvl w:val="0"/>
          <w:numId w:val="2"/>
        </w:numPr>
        <w:spacing w:after="40"/>
      </w:pPr>
      <w:r>
        <w:rPr>
          <w:rFonts w:ascii="Calibri" w:cs="Calibri" w:eastAsia="Calibri" w:hAnsi="Calibri"/>
          <w:color w:val="1F2937"/>
          <w:sz w:val="22"/>
          <w:szCs w:val="22"/>
        </w:rPr>
        <w:t xml:space="preserve">Utiliser la supervision des pratiques comme outil de formation et de bientraitance</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de vigilance pour les ESSMS</w:t>
      </w:r>
    </w:p>
    <w:p>
      <w:pPr>
        <w:pBdr>
          <w:left w:val="single" w:color="FCD34D" w:sz="12" w:space="200"/>
        </w:pBdr>
        <w:shd w:fill="FFFBEB" w:val="clear"/>
        <w:spacing w:after="80"/>
        <w:ind w:left="200"/>
      </w:pPr>
      <w:r>
        <w:rPr>
          <w:rFonts w:ascii="Calibri" w:cs="Calibri" w:eastAsia="Calibri" w:hAnsi="Calibri"/>
          <w:color w:val="1F2937"/>
          <w:sz w:val="22"/>
          <w:szCs w:val="22"/>
        </w:rPr>
        <w:t xml:space="preserve">Ne pas attendre le diagnostic formel pour débuter les interventions : agir dès les interrogations diagnostiques</w:t>
      </w:r>
    </w:p>
    <w:p>
      <w:pPr>
        <w:pBdr>
          <w:left w:val="single" w:color="FCD34D" w:sz="12" w:space="200"/>
        </w:pBdr>
        <w:shd w:fill="FFFBEB" w:val="clear"/>
        <w:spacing w:after="80"/>
        <w:ind w:left="200"/>
      </w:pPr>
      <w:r>
        <w:rPr>
          <w:rFonts w:ascii="Calibri" w:cs="Calibri" w:eastAsia="Calibri" w:hAnsi="Calibri"/>
          <w:color w:val="1F2937"/>
          <w:sz w:val="22"/>
          <w:szCs w:val="22"/>
        </w:rPr>
        <w:t xml:space="preserve">Éviter la prescription de psychotropes sans justification clinique rigoureuse et sans suivi régulier</w:t>
      </w:r>
    </w:p>
    <w:p>
      <w:pPr>
        <w:pBdr>
          <w:left w:val="single" w:color="FCD34D" w:sz="12" w:space="200"/>
        </w:pBdr>
        <w:shd w:fill="FFFBEB" w:val="clear"/>
        <w:spacing w:after="80"/>
        <w:ind w:left="200"/>
      </w:pPr>
      <w:r>
        <w:rPr>
          <w:rFonts w:ascii="Calibri" w:cs="Calibri" w:eastAsia="Calibri" w:hAnsi="Calibri"/>
          <w:color w:val="1F2937"/>
          <w:sz w:val="22"/>
          <w:szCs w:val="22"/>
        </w:rPr>
        <w:t xml:space="preserve">Anticiper la transition adolescent/adulte : ne pas attendre la majorité pour initier les démarches</w:t>
      </w:r>
    </w:p>
    <w:p>
      <w:pPr>
        <w:pBdr>
          <w:left w:val="single" w:color="FCD34D" w:sz="12" w:space="200"/>
        </w:pBdr>
        <w:shd w:fill="FFFBEB" w:val="clear"/>
        <w:spacing w:after="80"/>
        <w:ind w:left="200"/>
      </w:pPr>
      <w:r>
        <w:rPr>
          <w:rFonts w:ascii="Calibri" w:cs="Calibri" w:eastAsia="Calibri" w:hAnsi="Calibri"/>
          <w:color w:val="1F2937"/>
          <w:sz w:val="22"/>
          <w:szCs w:val="22"/>
        </w:rPr>
        <w:t xml:space="preserve">Reconnaître les besoins intensifs de l'autisme sévère ('Profound Autism') et adapter les ressources</w:t>
      </w:r>
    </w:p>
    <w:p>
      <w:pPr>
        <w:pBdr>
          <w:left w:val="single" w:color="FCD34D" w:sz="12" w:space="200"/>
        </w:pBdr>
        <w:shd w:fill="FFFBEB" w:val="clear"/>
        <w:spacing w:after="80"/>
        <w:ind w:left="200"/>
      </w:pPr>
      <w:r>
        <w:rPr>
          <w:rFonts w:ascii="Calibri" w:cs="Calibri" w:eastAsia="Calibri" w:hAnsi="Calibri"/>
          <w:color w:val="1F2937"/>
          <w:sz w:val="22"/>
          <w:szCs w:val="22"/>
        </w:rPr>
        <w:t xml:space="preserve">Sensibiliser les équipes Protection de l'enfance pour éviter les signalements injustifiés liés aux comportements TSA</w:t>
      </w:r>
    </w:p>
    <w:p>
      <w:pPr>
        <w:pBdr>
          <w:left w:val="single" w:color="BFDBFE" w:sz="12" w:space="200"/>
        </w:pBdr>
        <w:shd w:fill="EFF6FF" w:val="clear"/>
        <w:spacing w:after="80"/>
        <w:ind w:left="200"/>
      </w:pPr>
      <w:r>
        <w:rPr>
          <w:rFonts w:ascii="Calibri" w:cs="Calibri" w:eastAsia="Calibri" w:hAnsi="Calibri"/>
          <w:color w:val="1F2937"/>
          <w:sz w:val="22"/>
          <w:szCs w:val="22"/>
        </w:rPr>
        <w:t xml:space="preserve">Intégrer la pair-aidance et les groupes d'entraide familiaux dans l'offre de soutien</w:t>
      </w:r>
    </w:p>
    <w:p>
      <w:pPr>
        <w:pBdr>
          <w:left w:val="single" w:color="BFDBFE" w:sz="12" w:space="200"/>
        </w:pBdr>
        <w:shd w:fill="EFF6FF" w:val="clear"/>
        <w:spacing w:after="80"/>
        <w:ind w:left="200"/>
      </w:pPr>
      <w:r>
        <w:rPr>
          <w:rFonts w:ascii="Calibri" w:cs="Calibri" w:eastAsia="Calibri" w:hAnsi="Calibri"/>
          <w:color w:val="1F2937"/>
          <w:sz w:val="22"/>
          <w:szCs w:val="22"/>
        </w:rPr>
        <w:t xml:space="preserve">Garantir l'accès aux loisirs, à la culture et aux activités sportives dans les projets personnalisés</w:t>
      </w:r>
    </w:p>
    <w:p>
      <w:pPr>
        <w:pBdr>
          <w:left w:val="single" w:color="86EFAC" w:sz="12" w:space="200"/>
        </w:pBdr>
        <w:shd w:fill="F0FDF4" w:val="clear"/>
        <w:spacing w:after="80"/>
        <w:ind w:left="200"/>
      </w:pPr>
      <w:r>
        <w:rPr>
          <w:rFonts w:ascii="Calibri" w:cs="Calibri" w:eastAsia="Calibri" w:hAnsi="Calibri"/>
          <w:color w:val="1F2937"/>
          <w:sz w:val="22"/>
          <w:szCs w:val="22"/>
        </w:rPr>
        <w:t xml:space="preserve">Assurer la continuité des informations entre les professionnels lors des transitions institutionnelles</w:t>
      </w:r>
    </w:p>
    <w:sectPr>
      <w:pgSz w:w="11906" w:h="16838" w:orient="portrait"/>
      <w:pgMar w:top="40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2026-04-07T19:32:48.323Z</dcterms:created>
  <dcterms:modified xsi:type="dcterms:W3CDTF">2026-04-07T19:32:48.323Z</dcterms:modified>
</cp:coreProperties>
</file>

<file path=docProps/custom.xml><?xml version="1.0" encoding="utf-8"?>
<Properties xmlns="http://schemas.openxmlformats.org/officeDocument/2006/custom-properties" xmlns:vt="http://schemas.openxmlformats.org/officeDocument/2006/docPropsVTypes"/>
</file>