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b/>
          <w:bCs/>
          <w:caps/>
          <w:color w:val="6B7280"/>
          <w:sz w:val="18"/>
          <w:szCs w:val="18"/>
        </w:rPr>
        <w:t xml:space="preserve">VEILLE RBPP • HAS</w:t>
      </w:r>
      <w:r>
        <w:rPr>
          <w:color w:val="D1D5DB"/>
          <w:sz w:val="18"/>
          <w:szCs w:val="18"/>
        </w:rPr>
        <w:t xml:space="preserve">   |   </w:t>
      </w:r>
      <w:r>
        <w:rPr>
          <w:color w:val="6B7280"/>
          <w:sz w:val="18"/>
          <w:szCs w:val="18"/>
        </w:rPr>
        <w:t xml:space="preserve">19 avril 2026</w:t>
      </w:r>
    </w:p>
    <w:p>
      <w:pPr>
        <w:spacing w:after="120" w:before="0"/>
      </w:pPr>
      <w:r>
        <w:rPr>
          <w:b/>
          <w:bCs/>
          <w:color w:val="1B3A6B"/>
          <w:sz w:val="40"/>
          <w:szCs w:val="40"/>
        </w:rPr>
        <w:t xml:space="preserve">Premières clefs d'usage de l'IA générative en santé</w:t>
      </w:r>
    </w:p>
    <w:p>
      <w:pPr>
        <w:spacing w:after="60" w:before="0"/>
      </w:pPr>
      <w:r>
        <w:rPr>
          <w:i/>
          <w:iCs/>
          <w:color w:val="374151"/>
          <w:sz w:val="26"/>
          <w:szCs w:val="26"/>
        </w:rPr>
        <w:t xml:space="preserve">Argumentaire – Rapport d'élaboration HAS</w:t>
      </w:r>
    </w:p>
    <w:p>
      <w:pPr>
        <w:spacing w:after="60" w:before="0"/>
      </w:pPr>
      <w:r>
        <w:rPr>
          <w:b/>
          <w:bCs/>
          <w:color w:val="374151"/>
          <w:sz w:val="21"/>
          <w:szCs w:val="21"/>
        </w:rPr>
        <w:t xml:space="preserve">Source : </w:t>
      </w:r>
      <w:r>
        <w:rPr>
          <w:color w:val="374151"/>
          <w:sz w:val="21"/>
          <w:szCs w:val="21"/>
        </w:rPr>
        <w:t xml:space="preserve">Haute Autorité de santé (HAS) • Adopté par le Collège le 23 octobre 2025</w:t>
      </w:r>
    </w:p>
    <w:p>
      <w:pPr>
        <w:spacing w:after="300" w:before="0"/>
      </w:pPr>
      <w:r>
        <w:rPr>
          <w:b/>
          <w:bCs/>
          <w:color w:val="374151"/>
          <w:sz w:val="21"/>
          <w:szCs w:val="21"/>
        </w:rPr>
        <w:t xml:space="preserve">Disponible sur : </w:t>
      </w:r>
      <w:r>
        <w:rPr>
          <w:color w:val="1B3A6B"/>
          <w:sz w:val="21"/>
          <w:szCs w:val="21"/>
        </w:rPr>
        <w:t xml:space="preserve">www.has-sante.fr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1. Identification du document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Titre complet :  </w:t>
      </w:r>
      <w:r>
        <w:rPr>
          <w:sz w:val="22"/>
          <w:szCs w:val="22"/>
        </w:rPr>
        <w:t xml:space="preserve">Premières clefs d'usage de l'IA générative en santé – Argumentaire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Type :  </w:t>
      </w:r>
      <w:r>
        <w:rPr>
          <w:sz w:val="22"/>
          <w:szCs w:val="22"/>
        </w:rPr>
        <w:t xml:space="preserve">Rapport d'élaboration (argumentaire d'un guide de bonnes pratiques)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Date d'adoption :  </w:t>
      </w:r>
      <w:r>
        <w:rPr>
          <w:sz w:val="22"/>
          <w:szCs w:val="22"/>
        </w:rPr>
        <w:t xml:space="preserve">23 octobre 2025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Promoteur :  </w:t>
      </w:r>
      <w:r>
        <w:rPr>
          <w:sz w:val="22"/>
          <w:szCs w:val="22"/>
        </w:rPr>
        <w:t xml:space="preserve">Haute Autorité de santé (HAS)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Pilotage :  </w:t>
      </w:r>
      <w:r>
        <w:rPr>
          <w:sz w:val="22"/>
          <w:szCs w:val="22"/>
        </w:rPr>
        <w:t xml:space="preserve">Mission numérique en santé (MNS)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Auteurs :  </w:t>
      </w:r>
      <w:r>
        <w:rPr>
          <w:sz w:val="22"/>
          <w:szCs w:val="22"/>
        </w:rPr>
        <w:t xml:space="preserve">Paul VALOIS (chef de projet), Julie MARC (adjointe à la cheffe de service), Corinne COLLIGNON (cheffe de service)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Mode de saisine :  </w:t>
      </w:r>
      <w:r>
        <w:rPr>
          <w:sz w:val="22"/>
          <w:szCs w:val="22"/>
        </w:rPr>
        <w:t xml:space="preserve">Auto-saisine</w:t>
      </w:r>
    </w:p>
    <w:p>
      <w:pPr>
        <w:spacing w:after="80" w:before="60"/>
      </w:pPr>
      <w:r>
        <w:rPr>
          <w:b/>
          <w:bCs/>
          <w:sz w:val="22"/>
          <w:szCs w:val="22"/>
        </w:rPr>
        <w:t xml:space="preserve">Public cible :  </w:t>
      </w:r>
      <w:r>
        <w:rPr>
          <w:sz w:val="22"/>
          <w:szCs w:val="22"/>
        </w:rPr>
        <w:t xml:space="preserve">Professionnels du secteur sanitaire, social et médico-social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2. Contexte et objectifs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Ce rapport détaille la méthode mise en œuvre pour élaborer le guide « Premières clefs d'usage de l'intelligence artificielle (IA) générative en santé ». Il constitue l'argumentaire scientifique du guide principal, destiné à être un document court, pédagogique et directement appropriable par les professionnels non experts.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La démarche repose sur trois piliers méthodologiques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Une analyse critique de la littérature scientifique internationale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Des entretiens semi-directifs avec des acteurs de l'écosystème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Une relecture par des experts ciblés de l'écosystème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Le guide propose un cadre structuré autour de l'acrostiche A.V.E.C., résumant 4 lignes directrices pour le bon usage de l'IA générative en santé : Apprendre, Vérifier, Estimer, Communiquer.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Des outils d'appropriation ont également été produits : un schéma pédagogique illustrant le processus de génération d'un contenu, et une infographie de synthèse reprenant les lignes directrices A.V.E.C.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3. Analyse critique de la littérature scientifique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3.1 Méthode documentaire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La recherche documentaire a porté sur la période avril 2020 – avril 2025. Les bases de données Medline et les sites d'organismes et sociétés savantes ont été consultés. Les publications en langues anglaise et française ont été retenues ; aucun type de document n'a été exclu a priori.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3.2 Résultats quantitatifs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8 991 références identifiées par l'équation de recherche initiale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129 références retenues après filtre sur le titre (recommandations/guides/préconisations pour l'IA générative en santé)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+ 19 références issues de la veille bibliographique complémentaire (jusqu'en septembre 2025)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= 148 références au total, dont 131 exclues, aboutissant à 17 références sélectionnées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3.3 Raisons d'exclusion des 131 références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107 – portaient uniquement sur l'évaluation des performances (hors usage)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10 – hors IA générative en santé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9 – ciblaient un seul système spécifique d'IA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3 – portaient uniquement sur la régulation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2 – portaient uniquement sur des possibilités d'application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3.4 Caractéristiques des 17 références sélectionnées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Les 17 références retenues sont toutes des guides pour favoriser le bon usage des systèmes d'IA générative en santé. Elles se répartissent en 4 catégories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Guides pour l'ensemble des professionnels sanitaire, social et médico-social (réf. 1 à 7)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Guides pour une spécialité médicale ou paramédicale (réf. 8 à 12)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Guides pour les établissements de santé ou ESSMS (réf. 13 et 14)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Guides pour l'évaluation d'une technologie de santé (réf. 15 à 17)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3.5 Limites de la littérature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72 % des références identifiées traitaient uniquement des performances de l'IA → exclues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Seulement 11 % portaient sur les guides d'usage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30 % des références retenues ne s'adressaient pas directement aux professionnels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5 des 17 références seulement précisent avoir mobilisé des groupes de travail ou des experts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Aucune des 17 ne décrit sa méthodologie de revue de littérature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La majorité ne relève pas des principes de l'evidence-based medicine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4. Synthèse des entretiens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4.1 Méthode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31 entretiens semi-directifs ont été menés individuellement avec des acteurs hétérogènes : industriels du secteur, professionnels de santé utilisateurs, établissements de santé et ESSMS, institutions, associations de patients et d'usagers, syndicats industriels, acheteurs hospitaliers. Les contributeurs ont été sollicités à titre individuel, pour formuler des positions n'engageant que leur avis propre.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Chaque entretien a systématiquement abordé : usages identifiés, critères de choix des systèmes, évaluations mises en œuvre, modalités d'implémentation, évolutions organisationnelles, retours d'expérience et besoins de l'écosystème. Les entretiens se clôturaient par deux questions fermées : pertinence de la saisine HAS, et public prioritaire.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4.2 Résultats clés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Quasi-totalité des contributeurs : la HAS doit s'emparer du sujet de l'IA générative → OUI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Priorité recommandée : guide pédagogique à destination des professionnels (62 % des votes de priorisation)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Consensus sur le besoin d'un guide simple, compréhensible pour des non-experts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Défaut de visibilité sur les usages effectifs en santé, signalé par la majorité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Niveau de connaissance et d'utilisation très hétérogène selon les professionnels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Manque de pertinence vis-à-vis des besoins réels des professionnels → frein majeur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Besoin général d'accompagnement, d'aide à l'implémentation et de système qualité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Évaluations actuelles insuffisantes : contextes simplifiés, sans données patients réelles, sans mesure standardisée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Des expérimentations structurées se mettent néanmoins en place (tiers lieux, protocoles qualité)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5. Synthèse des relectures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5.1 Méthode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La version provisoire du guide a été soumise à 44 contributeurs sollicités : 31 contributeurs externes et 13 agents HAS. Chaque contributeur a reçu un questionnaire individuel structuré (compréhension, formulation, pertinence, cohérence, etc.) et des questions ouvertes.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5.2 Résultats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32 contributions reçues sur 44 sollicitations → taux de participation : 95 %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21 contributions externes + 11 contributions internes HAS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Durée moyenne de remplissage du questionnaire : 4 heures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5.3 Modifications apportées suite aux relectures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Clarification du périmètre, de la cible et de l'approche du guide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Précision des enjeux, opportunités et limites des usages de l'IA générative en santé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Reformulation des lignes directrices pour consolider leur rédaction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Modification des actions clefs pour renforcer leur cohérence et leur applicabilité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Complétion des exemples, notamment pour le secteur médico-social et social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Ajustement de la forme générale pour améliorer la lisibilité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L'acrostiche A.V.E.C. et les exemples concrets ont été explicitement appréciés par la majorité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6. Cadre A.V.E.C. — 4 lignes directrices pour un bon usage de l'IA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L'analyse croisée de la littérature et des entretiens a permis d'identifier 4 lignes directrices, structurées en acrostiche A.V.E.C. :</w:t>
      </w:r>
    </w:p>
    <w:p>
      <w:pPr>
        <w:spacing w:after="60" w:before="160"/>
      </w:pPr>
      <w:r>
        <w:rPr>
          <w:b/>
          <w:bCs/>
          <w:color w:val="1B3A6B"/>
          <w:sz w:val="24"/>
          <w:szCs w:val="24"/>
        </w:rPr>
        <w:t xml:space="preserve">A — APPRENDRE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Formations initiales et continues (fonctionnement, limites, enjeux réglementaires)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Échanges avec les développeurs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Informations via les instances institutionnelles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Accompagnement par les GRADeS (Groupements Régionaux d'Appui au Développement de la e-Santé)</w:t>
      </w:r>
    </w:p>
    <w:p>
      <w:pPr>
        <w:spacing w:after="60" w:before="160"/>
      </w:pPr>
      <w:r>
        <w:rPr>
          <w:b/>
          <w:bCs/>
          <w:color w:val="2563EB"/>
          <w:sz w:val="24"/>
          <w:szCs w:val="24"/>
        </w:rPr>
        <w:t xml:space="preserve">V — VÉRIFIER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Suppression des données personnelles avant toute demande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Identification et consultation des sources citées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Relecture rigoureuse et systématique de chaque génération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Validation humaine systématique du contenu produit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Limitation du copier-coller ; réécriture du contenu généré</w:t>
      </w:r>
    </w:p>
    <w:p>
      <w:pPr>
        <w:spacing w:after="60" w:before="160"/>
      </w:pPr>
      <w:r>
        <w:rPr>
          <w:b/>
          <w:bCs/>
          <w:color w:val="0EA5E9"/>
          <w:sz w:val="24"/>
          <w:szCs w:val="24"/>
        </w:rPr>
        <w:t xml:space="preserve">E — ESTIMER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Définition de critères d'évaluation qualitatifs et quantitatifs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Suivi des usages, des demandes et des générations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Suivi des erreurs et des mesures correctives</w:t>
      </w:r>
    </w:p>
    <w:p>
      <w:pPr>
        <w:spacing w:after="60" w:before="160"/>
      </w:pPr>
      <w:r>
        <w:rPr>
          <w:b/>
          <w:bCs/>
          <w:color w:val="6366F1"/>
          <w:sz w:val="24"/>
          <w:szCs w:val="24"/>
        </w:rPr>
        <w:t xml:space="preserve">C — COMMUNIQUER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Information des patients sur les usages faits et les données partagées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Retours d'expérience qualitatifs et quantitatifs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Signalements et analyses des biais, erreurs et hallucinations</w:t>
      </w:r>
    </w:p>
    <w:p>
      <w:pPr>
        <w:spacing w:after="40" w:before="40"/>
        <w:ind w:left="360"/>
      </w:pPr>
      <w:r>
        <w:rPr>
          <w:sz w:val="21"/>
          <w:szCs w:val="21"/>
        </w:rPr>
        <w:t xml:space="preserve">▸  Échanges avec les développeurs et avec d'autres utilisateurs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7. Enjeux spécifiques pour le secteur médico-social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Bien que ce guide s'adresse à l'ensemble des secteurs, plusieurs éléments sont particulièrement pertinents pour les établissements et services médico-sociaux (ESSMS)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Les professionnels du médico-social sont inclus explicitement dans la cible du guide et dans les contributions (entretiens et relectures)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Les exemples du guide ont été complétés pour le secteur médico-social et social, suite aux relectures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Les GRADeS sont cités comme acteurs d'accompagnement à l'appropriation de l'IA (ligne directrice Apprendre)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L'information des personnes accompagnées sur les usages de l'IA les concernant est explicitement intégrée (ligne directrice Communiquer)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Le besoin d'un guide simple, pédagogique et non-expert est cohérent avec les profils variés des professionnels des ESSMS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La démarche qualité institutionnelle pour intégrer l'IA est mentionnée comme levier dans les entretiens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B3A6B"/>
          <w:sz w:val="28"/>
          <w:szCs w:val="28"/>
        </w:rPr>
        <w:t xml:space="preserve">8. Points clés à retenir</w:t>
      </w:r>
    </w:p>
    <w:p>
      <w:pPr>
        <w:spacing w:after="80" w:before="100"/>
      </w:pPr>
      <w:r>
        <w:rPr>
          <w:b/>
          <w:bCs/>
          <w:color w:val="1B3A6B"/>
          <w:sz w:val="22"/>
          <w:szCs w:val="22"/>
        </w:rPr>
        <w:t xml:space="preserve">1. </w:t>
      </w:r>
      <w:r>
        <w:rPr>
          <w:sz w:val="22"/>
          <w:szCs w:val="22"/>
        </w:rPr>
        <w:t xml:space="preserve">Le guide HAS propose un cadre pédagogique simple structuré autour de A.V.E.C. (Apprendre, Vérifier, Estimer, Communiquer) pour un usage responsable de l'IA générative.</w:t>
      </w: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2. </w:t>
      </w:r>
      <w:r>
        <w:rPr>
          <w:sz w:val="22"/>
          <w:szCs w:val="22"/>
        </w:rPr>
        <w:t xml:space="preserve">La littérature scientifique sur les guides d'usage de l'IA en santé est encore peu développée : seulement 17 références retenues sur 8 991 identifiées.</w:t>
      </w: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3. </w:t>
      </w:r>
      <w:r>
        <w:rPr>
          <w:sz w:val="22"/>
          <w:szCs w:val="22"/>
        </w:rPr>
        <w:t xml:space="preserve">Le terrain confirme un défaut de visibilité sur les usages effectifs, un niveau de connaissance très hétérogène et un fort besoin d'accompagnement.</w:t>
      </w:r>
    </w:p>
    <w:p>
      <w:pPr>
        <w:spacing w:after="80" w:before="80"/>
      </w:pPr>
      <w:r>
        <w:rPr>
          <w:b/>
          <w:bCs/>
          <w:color w:val="1B3A6B"/>
          <w:sz w:val="22"/>
          <w:szCs w:val="22"/>
        </w:rPr>
        <w:t xml:space="preserve">4. </w:t>
      </w:r>
      <w:r>
        <w:rPr>
          <w:sz w:val="22"/>
          <w:szCs w:val="22"/>
        </w:rPr>
        <w:t xml:space="preserve">La validation humaine systématique, la vérification des sources et la suppression des données personnelles avant toute requête sont des actions prioritaires.</w:t>
      </w:r>
    </w:p>
    <w:p>
      <w:pPr>
        <w:spacing w:after="200" w:before="80"/>
      </w:pPr>
      <w:r>
        <w:rPr>
          <w:b/>
          <w:bCs/>
          <w:color w:val="1B3A6B"/>
          <w:sz w:val="22"/>
          <w:szCs w:val="22"/>
        </w:rPr>
        <w:t xml:space="preserve">5. </w:t>
      </w:r>
      <w:r>
        <w:rPr>
          <w:sz w:val="22"/>
          <w:szCs w:val="22"/>
        </w:rPr>
        <w:t xml:space="preserve">Ce guide constitue une première étape ; un travail dédié aux personnes accompagnées (patients/usagers) est annoncé pour la suite.</w:t>
      </w:r>
    </w:p>
    <w:p>
      <w:pPr>
        <w:pBdr>
          <w:bottom w:val="single" w:color="1B3A6B" w:sz="6"/>
        </w:pBdr>
        <w:spacing w:after="200" w:before="200"/>
      </w:pPr>
    </w:p>
    <w:p>
      <w:pPr>
        <w:spacing w:after="0" w:before="120"/>
        <w:jc w:val="center"/>
      </w:pPr>
      <w:r>
        <w:rPr>
          <w:i/>
          <w:iCs/>
          <w:color w:val="9CA3AF"/>
          <w:sz w:val="18"/>
          <w:szCs w:val="18"/>
        </w:rPr>
        <w:t xml:space="preserve">Veille produite dans le cadre du dispositif Claude Travail • Formation professionnelle médico-social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2026-04-19T20:32:36.455Z</dcterms:created>
  <dcterms:modified xsi:type="dcterms:W3CDTF">2026-04-19T20:32:36.477Z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