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B3A6B"/>
          <w:sz w:val="36"/>
          <w:szCs w:val="36"/>
        </w:rPr>
        <w:t xml:space="preserve">Veille HAS — Analyse des EIAS</w:t>
      </w:r>
    </w:p>
    <w:p>
      <w:pPr>
        <w:spacing w:after="80"/>
        <w:jc w:val="center"/>
      </w:pPr>
      <w:r>
        <w:rPr>
          <w:rFonts w:ascii="Calibri" w:cs="Calibri" w:eastAsia="Calibri" w:hAnsi="Calibri"/>
          <w:b/>
          <w:bCs/>
          <w:i/>
          <w:iCs/>
          <w:color w:val="1B3A6B"/>
          <w:sz w:val="24"/>
          <w:szCs w:val="24"/>
        </w:rPr>
        <w:t xml:space="preserve">Événements indésirables associés aux soins — Mode d'emploi</w:t>
      </w:r>
    </w:p>
    <w:p>
      <w:pPr>
        <w:spacing w:after="300"/>
        <w:jc w:val="center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Veille produite le 2026-05-24 — Publication HAS : 16/04/2026 (MAJ 21/05/2026)</w:t>
      </w:r>
    </w:p>
    <w:p>
      <w:pPr>
        <w:spacing w:after="140" w:before="38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📋 Carte d'identité du document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B3A6B" w:color="1B3A6B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Critère</w:t>
            </w:r>
          </w:p>
        </w:tc>
        <w:tc>
          <w:tcPr>
            <w:shd w:fill="1B3A6B" w:color="1B3A6B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Détail</w:t>
            </w:r>
          </w:p>
        </w:tc>
      </w:tr>
      <w:tr>
        <w:tc>
          <w:tcPr>
            <w:shd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Titre exact</w:t>
            </w:r>
          </w:p>
        </w:tc>
        <w:tc>
          <w:tcPr>
            <w:shd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L'analyse des évènements indésirables associés aux soins (EIAS) : mode d'emploi</w:t>
            </w:r>
          </w:p>
        </w:tc>
      </w:tr>
      <w:tr>
        <w:tc>
          <w:tcPr>
            <w:shd w:fill="EEF2F7" w:color="EEF2F7" w:val="clear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Date publication</w:t>
            </w:r>
          </w:p>
        </w:tc>
        <w:tc>
          <w:tcPr>
            <w:shd w:fill="EEF2F7" w:color="EEF2F7" w:val="clear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16 avril 2026 — mise à jour 21 mai 2026</w:t>
            </w:r>
          </w:p>
        </w:tc>
      </w:tr>
      <w:tr>
        <w:tc>
          <w:tcPr>
            <w:shd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Type</w:t>
            </w:r>
          </w:p>
        </w:tc>
        <w:tc>
          <w:tcPr>
            <w:shd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Guide méthodologique HAS</w:t>
            </w:r>
          </w:p>
        </w:tc>
      </w:tr>
      <w:tr>
        <w:tc>
          <w:tcPr>
            <w:shd w:fill="EEF2F7" w:color="EEF2F7" w:val="clear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Public cible</w:t>
            </w:r>
          </w:p>
        </w:tc>
        <w:tc>
          <w:tcPr>
            <w:shd w:fill="EEF2F7" w:color="EEF2F7" w:val="clear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Sanitaire · Médico-social (ESSMS) · Ville</w:t>
            </w:r>
          </w:p>
        </w:tc>
      </w:tr>
      <w:tr>
        <w:tc>
          <w:tcPr>
            <w:shd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Périmètre</w:t>
            </w:r>
          </w:p>
        </w:tc>
        <w:tc>
          <w:tcPr>
            <w:shd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Tous les EIAS, y compris EIGS (graves)</w:t>
            </w:r>
          </w:p>
        </w:tc>
      </w:tr>
      <w:tr>
        <w:tc>
          <w:tcPr>
            <w:shd w:fill="EEF2F7" w:color="EEF2F7" w:val="clear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Méthode mobilisée</w:t>
            </w:r>
          </w:p>
        </w:tc>
        <w:tc>
          <w:tcPr>
            <w:shd w:fill="EEF2F7" w:color="EEF2F7" w:val="clear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ALARM-E (Association of Litigation And Risk Management — Extended)</w:t>
            </w:r>
          </w:p>
        </w:tc>
      </w:tr>
      <w:tr>
        <w:tc>
          <w:tcPr>
            <w:shd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Référence externe</w:t>
            </w:r>
          </w:p>
        </w:tc>
        <w:tc>
          <w:tcPr>
            <w:shd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London Protocol (mise à jour 2026)</w:t>
            </w:r>
          </w:p>
        </w:tc>
      </w:tr>
      <w:tr>
        <w:tc>
          <w:tcPr>
            <w:shd w:fill="EEF2F7" w:color="EEF2F7" w:val="clear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URL principale</w:t>
            </w:r>
          </w:p>
        </w:tc>
        <w:tc>
          <w:tcPr>
            <w:shd w:fill="EEF2F7" w:color="EEF2F7" w:val="clear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has-sante.fr/jcms/p_3293652</w:t>
            </w:r>
          </w:p>
        </w:tc>
      </w:tr>
    </w:tbl>
    <w:p>
      <w:pPr>
        <w:spacing w:after="200"/>
      </w:pPr>
    </w:p>
    <w:p>
      <w:pPr>
        <w:pBdr>
          <w:bottom w:val="single" w:color="CCCCCC" w:sz="6" w:space="1"/>
        </w:pBdr>
        <w:spacing w:after="200"/>
      </w:pPr>
    </w:p>
    <w:p>
      <w:pPr>
        <w:spacing w:after="140" w:before="38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🎯 Pourquoi cette mise à jour ? Les 2 constats HAS</w:t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color w:val="1B3A6B"/>
          <w:sz w:val="24"/>
          <w:szCs w:val="24"/>
        </w:rPr>
        <w:t xml:space="preserve">Constat n°1 — 50 % des déclarations EIGS sont inexploitables</w:t>
      </w:r>
    </w:p>
    <w:p>
      <w:pPr>
        <w:spacing w:after="9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Environ la moitié des déclarations d'événements indésirables graves associés aux soins manquent de qualité analytique suffisante, notamment dans l'identification des causes profondes.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Causes immédiates correctement identifiées dans la majorité des cas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Mais causes profondes (organisationnelles, systémiques) souvent absentes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Conséquence : retour d'expérience (REX) limité, actions correctives superficielles</w:t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color w:val="1B3A6B"/>
          <w:sz w:val="24"/>
          <w:szCs w:val="24"/>
        </w:rPr>
        <w:t xml:space="preserve">Constat n°2 — La parole du patient/usager reste sous-représentée</w:t>
      </w:r>
    </w:p>
    <w:p>
      <w:pPr>
        <w:spacing w:after="9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Le patient est le seul acteur qui traverse toutes les étapes du soin. Son point de vue a historiquement été négligé dans les analyses d'événements.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Le guide intègre explicitement l'expérience patient comme dimension d'analyse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ALARM-E ajoute la lettre « E » pour Expérience patient/usager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Fiche information patient + guide d'entretien spécifique</w:t>
      </w:r>
    </w:p>
    <w:p>
      <w:pPr>
        <w:spacing w:after="180"/>
      </w:pPr>
    </w:p>
    <w:p>
      <w:pPr>
        <w:pBdr>
          <w:bottom w:val="single" w:color="CCCCCC" w:sz="6" w:space="1"/>
        </w:pBdr>
        <w:spacing w:after="200"/>
      </w:pPr>
    </w:p>
    <w:p>
      <w:pPr>
        <w:spacing w:after="140" w:before="38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📚 La méthode ALARM-E en bref</w:t>
      </w:r>
    </w:p>
    <w:p>
      <w:pPr>
        <w:spacing w:after="9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ALARM-E (Association of Litigation And Risk Management — Extended) est la méthode de référence HAS pour l'analyse approfondie des EIAS. Elle structure l'analyse en distinguant causes immédiates et causes profondes selon 7+1 catégories de facteurs.</w:t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color w:val="1B3A6B"/>
          <w:sz w:val="24"/>
          <w:szCs w:val="24"/>
        </w:rPr>
        <w:t xml:space="preserve">Les 7+1 catégories de facteurs ALARM-E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B3A6B" w:color="1B3A6B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Catégorie</w:t>
            </w:r>
          </w:p>
        </w:tc>
        <w:tc>
          <w:tcPr>
            <w:shd w:fill="1B3A6B" w:color="1B3A6B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 de facteurs</w:t>
            </w:r>
          </w:p>
        </w:tc>
      </w:tr>
      <w:tr>
        <w:tc>
          <w:tcPr>
            <w:shd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1. Patient / usager</w:t>
            </w:r>
          </w:p>
        </w:tc>
        <w:tc>
          <w:tcPr>
            <w:shd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État de santé, comorbidités, communication, comportement</w:t>
            </w:r>
          </w:p>
        </w:tc>
      </w:tr>
      <w:tr>
        <w:tc>
          <w:tcPr>
            <w:shd w:fill="EEF2F7" w:color="EEF2F7" w:val="clear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2. Tâches à accomplir</w:t>
            </w:r>
          </w:p>
        </w:tc>
        <w:tc>
          <w:tcPr>
            <w:shd w:fill="EEF2F7" w:color="EEF2F7" w:val="clear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Protocoles, complexité de l'acte, ressources disponibles</w:t>
            </w:r>
          </w:p>
        </w:tc>
      </w:tr>
      <w:tr>
        <w:tc>
          <w:tcPr>
            <w:shd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3. Soignants / professionnels</w:t>
            </w:r>
          </w:p>
        </w:tc>
        <w:tc>
          <w:tcPr>
            <w:shd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Compétences, état émotionnel, formation, charge de travail</w:t>
            </w:r>
          </w:p>
        </w:tc>
      </w:tr>
      <w:tr>
        <w:tc>
          <w:tcPr>
            <w:shd w:fill="EEF2F7" w:color="EEF2F7" w:val="clear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4. Équipe</w:t>
            </w:r>
          </w:p>
        </w:tc>
        <w:tc>
          <w:tcPr>
            <w:shd w:fill="EEF2F7" w:color="EEF2F7" w:val="clear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Communication, coordination, supervision, leadership</w:t>
            </w:r>
          </w:p>
        </w:tc>
      </w:tr>
      <w:tr>
        <w:tc>
          <w:tcPr>
            <w:shd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5. Environnement de travail</w:t>
            </w:r>
          </w:p>
        </w:tc>
        <w:tc>
          <w:tcPr>
            <w:shd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Locaux, équipements, charge, organisation matérielle</w:t>
            </w:r>
          </w:p>
        </w:tc>
      </w:tr>
      <w:tr>
        <w:tc>
          <w:tcPr>
            <w:shd w:fill="EEF2F7" w:color="EEF2F7" w:val="clear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6. Organisation / management</w:t>
            </w:r>
          </w:p>
        </w:tc>
        <w:tc>
          <w:tcPr>
            <w:shd w:fill="EEF2F7" w:color="EEF2F7" w:val="clear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Politiques, ressources humaines, climat institutionnel</w:t>
            </w:r>
          </w:p>
        </w:tc>
      </w:tr>
      <w:tr>
        <w:tc>
          <w:tcPr>
            <w:shd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7. Contexte institutionnel</w:t>
            </w:r>
          </w:p>
        </w:tc>
        <w:tc>
          <w:tcPr>
            <w:shd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Contraintes externes, financement, régulation, partenariats</w:t>
            </w:r>
          </w:p>
        </w:tc>
      </w:tr>
      <w:tr>
        <w:tc>
          <w:tcPr>
            <w:shd w:fill="EEF2F7" w:color="EEF2F7" w:val="clear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8. (E) Expérience patient/usager</w:t>
            </w:r>
          </w:p>
        </w:tc>
        <w:tc>
          <w:tcPr>
            <w:shd w:fill="EEF2F7" w:color="EEF2F7" w:val="clear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Vécu, ressenti, narration de l'événement par la personne</w:t>
            </w:r>
          </w:p>
        </w:tc>
      </w:tr>
    </w:tbl>
    <w:p>
      <w:pPr>
        <w:spacing w:after="180"/>
      </w:pPr>
    </w:p>
    <w:p>
      <w:pPr>
        <w:pBdr>
          <w:bottom w:val="single" w:color="CCCCCC" w:sz="6" w:space="1"/>
        </w:pBdr>
        <w:spacing w:after="200"/>
      </w:pPr>
    </w:p>
    <w:p>
      <w:pPr>
        <w:spacing w:after="140" w:before="38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🔄 Les 5 étapes d'une analyse EIAS de qualité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B3A6B" w:color="1B3A6B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Étape</w:t>
            </w:r>
          </w:p>
        </w:tc>
        <w:tc>
          <w:tcPr>
            <w:shd w:fill="1B3A6B" w:color="1B3A6B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Objectif</w:t>
            </w:r>
          </w:p>
        </w:tc>
        <w:tc>
          <w:tcPr>
            <w:shd w:fill="1B3A6B" w:color="1B3A6B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Acteurs</w:t>
            </w:r>
          </w:p>
        </w:tc>
      </w:tr>
      <w:tr>
        <w:tc>
          <w:tcPr>
            <w:shd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1. Détection et déclaration</w:t>
            </w:r>
          </w:p>
        </w:tc>
        <w:tc>
          <w:tcPr>
            <w:shd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Identifier l'événement et le signaler dans le système (AGEVAL, autre)</w:t>
            </w:r>
          </w:p>
        </w:tc>
        <w:tc>
          <w:tcPr>
            <w:shd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Tout professionnel témoin</w:t>
            </w:r>
          </w:p>
        </w:tc>
      </w:tr>
      <w:tr>
        <w:tc>
          <w:tcPr>
            <w:shd w:fill="EEF2F7" w:color="EEF2F7" w:val="clear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2. Recueil des faits</w:t>
            </w:r>
          </w:p>
        </w:tc>
        <w:tc>
          <w:tcPr>
            <w:shd w:fill="EEF2F7" w:color="EEF2F7" w:val="clear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Chronologie précise, sans jugement, avec écoute du patient/usager</w:t>
            </w:r>
          </w:p>
        </w:tc>
        <w:tc>
          <w:tcPr>
            <w:shd w:fill="EEF2F7" w:color="EEF2F7" w:val="clear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Chef de service · qualiticien · pair</w:t>
            </w:r>
          </w:p>
        </w:tc>
      </w:tr>
      <w:tr>
        <w:tc>
          <w:tcPr>
            <w:shd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3. Analyse ALARM-E</w:t>
            </w:r>
          </w:p>
        </w:tc>
        <w:tc>
          <w:tcPr>
            <w:shd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Identifier causes immédiates ET causes profondes (7+1 catégories)</w:t>
            </w:r>
          </w:p>
        </w:tc>
        <w:tc>
          <w:tcPr>
            <w:shd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Groupe pluridisciplinaire (CREX, RMM)</w:t>
            </w:r>
          </w:p>
        </w:tc>
      </w:tr>
      <w:tr>
        <w:tc>
          <w:tcPr>
            <w:shd w:fill="EEF2F7" w:color="EEF2F7" w:val="clear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4. Plan d'actions</w:t>
            </w:r>
          </w:p>
        </w:tc>
        <w:tc>
          <w:tcPr>
            <w:shd w:fill="EEF2F7" w:color="EEF2F7" w:val="clear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Actions correctives ciblées, mesurables, avec responsables et délais</w:t>
            </w:r>
          </w:p>
        </w:tc>
        <w:tc>
          <w:tcPr>
            <w:shd w:fill="EEF2F7" w:color="EEF2F7" w:val="clear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Direction · cadres · équipes</w:t>
            </w:r>
          </w:p>
        </w:tc>
      </w:tr>
      <w:tr>
        <w:tc>
          <w:tcPr>
            <w:shd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5. Suivi et REX</w:t>
            </w:r>
          </w:p>
        </w:tc>
        <w:tc>
          <w:tcPr>
            <w:shd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Évaluation des actions, partage du retour d'expérience, capitalisation</w:t>
            </w:r>
          </w:p>
        </w:tc>
        <w:tc>
          <w:tcPr>
            <w:shd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Comité qualité · CSE · CVS</w:t>
            </w:r>
          </w:p>
        </w:tc>
      </w:tr>
    </w:tbl>
    <w:p>
      <w:pPr>
        <w:spacing w:after="200"/>
      </w:pPr>
    </w:p>
    <w:p>
      <w:pPr>
        <w:pBdr>
          <w:bottom w:val="single" w:color="CCCCCC" w:sz="6" w:space="1"/>
        </w:pBdr>
        <w:spacing w:after="200"/>
      </w:pPr>
    </w:p>
    <w:p>
      <w:pPr>
        <w:spacing w:after="140" w:before="38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🤝 L'intégration du patient/usager : nouveauté clé 2026</w:t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color w:val="1B3A6B"/>
          <w:sz w:val="24"/>
          <w:szCs w:val="24"/>
        </w:rPr>
        <w:t xml:space="preserve">Pourquoi intégrer la parole du patient ?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Seul acteur qui traverse toutes les étapes du soin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Apporte un éclairage sur des dysfonctionnements invisibles aux professionnels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Renforce la légitimité du plan d'actions auprès des usagers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Inscription dans la démarche bientraitance et droits des personnes</w:t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color w:val="1B3A6B"/>
          <w:sz w:val="24"/>
          <w:szCs w:val="24"/>
        </w:rPr>
        <w:t xml:space="preserve">Comment recueillir cette parole en ESSMS handicap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Entretien avec un tiers neutre (qualiticien, mandataire judiciaire si tutelle)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Adaptation FALC (Facile À Lire et à Comprendre) si troubles cognitifs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Recours aux représentants au CVS si la personne ne peut s'exprimer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Respect du droit au refus de participation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Garantie d'anonymat et de non-représailles</w:t>
      </w:r>
    </w:p>
    <w:p>
      <w:pPr>
        <w:spacing w:after="180"/>
      </w:pPr>
    </w:p>
    <w:p>
      <w:pPr>
        <w:pBdr>
          <w:bottom w:val="single" w:color="CCCCCC" w:sz="6" w:space="1"/>
        </w:pBdr>
        <w:spacing w:after="200"/>
      </w:pPr>
    </w:p>
    <w:p>
      <w:pPr>
        <w:spacing w:after="140" w:before="38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📖 Les 5 documents associés disponibles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B3A6B" w:color="1B3A6B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Document</w:t>
            </w:r>
          </w:p>
        </w:tc>
        <w:tc>
          <w:tcPr>
            <w:shd w:fill="1B3A6B" w:color="1B3A6B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  <w:tc>
          <w:tcPr>
            <w:shd w:fill="1B3A6B" w:color="1B3A6B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Cible</w:t>
            </w:r>
          </w:p>
        </w:tc>
      </w:tr>
      <w:tr>
        <w:tc>
          <w:tcPr>
            <w:shd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Guide principal</w:t>
            </w:r>
          </w:p>
        </w:tc>
        <w:tc>
          <w:tcPr>
            <w:shd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Méthode complète ALARM-E</w:t>
            </w:r>
          </w:p>
        </w:tc>
        <w:tc>
          <w:tcPr>
            <w:shd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Qualiticiens, encadrement</w:t>
            </w:r>
          </w:p>
        </w:tc>
      </w:tr>
      <w:tr>
        <w:tc>
          <w:tcPr>
            <w:shd w:fill="EEF2F7" w:color="EEF2F7" w:val="clear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Fiche information patient</w:t>
            </w:r>
          </w:p>
        </w:tc>
        <w:tc>
          <w:tcPr>
            <w:shd w:fill="EEF2F7" w:color="EEF2F7" w:val="clear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Informer le patient sur l'analyse en cours</w:t>
            </w:r>
          </w:p>
        </w:tc>
        <w:tc>
          <w:tcPr>
            <w:shd w:fill="EEF2F7" w:color="EEF2F7" w:val="clear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Patients/usagers et proches</w:t>
            </w:r>
          </w:p>
        </w:tc>
      </w:tr>
      <w:tr>
        <w:tc>
          <w:tcPr>
            <w:shd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Aide à l'analyse en ville</w:t>
            </w:r>
          </w:p>
        </w:tc>
        <w:tc>
          <w:tcPr>
            <w:shd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Adaptation cabinet, MSP</w:t>
            </w:r>
          </w:p>
        </w:tc>
        <w:tc>
          <w:tcPr>
            <w:shd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Médecine de ville</w:t>
            </w:r>
          </w:p>
        </w:tc>
      </w:tr>
      <w:tr>
        <w:tc>
          <w:tcPr>
            <w:shd w:fill="EEF2F7" w:color="EEF2F7" w:val="clear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Aide à l'analyse ESSMS et sanitaire</w:t>
            </w:r>
          </w:p>
        </w:tc>
        <w:tc>
          <w:tcPr>
            <w:shd w:fill="EEF2F7" w:color="EEF2F7" w:val="clear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Adaptation établissements ✦ pertinent pour vous</w:t>
            </w:r>
          </w:p>
        </w:tc>
        <w:tc>
          <w:tcPr>
            <w:shd w:fill="EEF2F7" w:color="EEF2F7" w:val="clear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Foyers, EHPAD, FAM, MAS, hôpitaux</w:t>
            </w:r>
          </w:p>
        </w:tc>
      </w:tr>
      <w:tr>
        <w:tc>
          <w:tcPr>
            <w:shd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L'essentiel</w:t>
            </w:r>
          </w:p>
        </w:tc>
        <w:tc>
          <w:tcPr>
            <w:shd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Synthèse opérationnelle 2 pages</w:t>
            </w:r>
          </w:p>
        </w:tc>
        <w:tc>
          <w:tcPr>
            <w:shd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Cadres, équipes terrain</w:t>
            </w:r>
          </w:p>
        </w:tc>
      </w:tr>
    </w:tbl>
    <w:p>
      <w:pPr>
        <w:spacing w:after="90"/>
      </w:pPr>
      <w:r>
        <w:rPr>
          <w:rFonts w:ascii="Calibri" w:cs="Calibri" w:eastAsia="Calibri" w:hAnsi="Calibri"/>
          <w:i/>
          <w:iCs/>
          <w:color w:val="1F2937"/>
          <w:sz w:val="22"/>
          <w:szCs w:val="22"/>
        </w:rPr>
        <w:t xml:space="preserve">✦ Le document « Aide à l'analyse des EIAS en établissements sanitaires et médico-sociaux » est le plus directement applicable dans votre contexte foyer d'hébergement.</w:t>
      </w:r>
    </w:p>
    <w:p>
      <w:pPr>
        <w:spacing w:after="180"/>
      </w:pPr>
    </w:p>
    <w:p>
      <w:pPr>
        <w:pBdr>
          <w:bottom w:val="single" w:color="CCCCCC" w:sz="6" w:space="1"/>
        </w:pBdr>
        <w:spacing w:after="200"/>
      </w:pPr>
    </w:p>
    <w:p>
      <w:pPr>
        <w:spacing w:after="140" w:before="38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⚠️ Points de vigilance pour les directions d'ESSMS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B3A6B" w:color="1B3A6B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⚠️ Point</w:t>
            </w:r>
          </w:p>
        </w:tc>
        <w:tc>
          <w:tcPr>
            <w:shd w:fill="1B3A6B" w:color="1B3A6B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Détail pratique</w:t>
            </w:r>
          </w:p>
        </w:tc>
      </w:tr>
      <w:tr>
        <w:tc>
          <w:tcPr>
            <w:shd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Qualité des déclarations dans AGEVAL</w:t>
            </w:r>
          </w:p>
        </w:tc>
        <w:tc>
          <w:tcPr>
            <w:shd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Vérifier que les déclarations sortent du "chronologique simple" et identifient bien des causes profondes. 50 % des EIGS sont inexploitables au niveau national.</w:t>
            </w:r>
          </w:p>
        </w:tc>
      </w:tr>
      <w:tr>
        <w:tc>
          <w:tcPr>
            <w:shd w:fill="EEF2F7" w:color="EEF2F7" w:val="clear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Formation des équipes à ALARM-E</w:t>
            </w:r>
          </w:p>
        </w:tc>
        <w:tc>
          <w:tcPr>
            <w:shd w:fill="EEF2F7" w:color="EEF2F7" w:val="clear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Programmer une session de formation interne (1 demi-journée) — distinction causes immédiates / profondes, technique d'entretien sans jugement.</w:t>
            </w:r>
          </w:p>
        </w:tc>
      </w:tr>
      <w:tr>
        <w:tc>
          <w:tcPr>
            <w:shd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Animation du CREX / comité qualité</w:t>
            </w:r>
          </w:p>
        </w:tc>
        <w:tc>
          <w:tcPr>
            <w:shd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Le CREX doit être pluridisciplinaire et structuré ALARM-E, pas un simple compte-rendu d'événement. Vérifier la composition et la périodicité.</w:t>
            </w:r>
          </w:p>
        </w:tc>
      </w:tr>
      <w:tr>
        <w:tc>
          <w:tcPr>
            <w:shd w:fill="EEF2F7" w:color="EEF2F7" w:val="clear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Intégration de la parole usager</w:t>
            </w:r>
          </w:p>
        </w:tc>
        <w:tc>
          <w:tcPr>
            <w:shd w:fill="EEF2F7" w:color="EEF2F7" w:val="clear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Adaptation FALC obligatoire pour le handicap mental. Désigner un référent neutre pour recueillir la parole de l'usager si l'événement le concerne.</w:t>
            </w:r>
          </w:p>
        </w:tc>
      </w:tr>
      <w:tr>
        <w:tc>
          <w:tcPr>
            <w:shd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Articulation avec le CVS</w:t>
            </w:r>
          </w:p>
        </w:tc>
        <w:tc>
          <w:tcPr>
            <w:shd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Le CVS doit être informé des EIGS et des plans d'actions (dans le respect du secret). Préparer un format de restitution adapté.</w:t>
            </w:r>
          </w:p>
        </w:tc>
      </w:tr>
      <w:tr>
        <w:tc>
          <w:tcPr>
            <w:shd w:fill="EEF2F7" w:color="EEF2F7" w:val="clear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Évaluation HAS 2022 — Chapitre 3</w:t>
            </w:r>
          </w:p>
        </w:tc>
        <w:tc>
          <w:tcPr>
            <w:shd w:fill="EEF2F7" w:color="EEF2F7" w:val="clear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Critères 3.3-01 à 3.3-04 sur la gestion des risques. Conformité = preuves d'analyses ALARM-E sur les EIGS de l'année.</w:t>
            </w:r>
          </w:p>
        </w:tc>
      </w:tr>
      <w:tr>
        <w:tc>
          <w:tcPr>
            <w:shd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Délai de déclaration EIGS</w:t>
            </w:r>
          </w:p>
        </w:tc>
        <w:tc>
          <w:tcPr>
            <w:shd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Rappel : 48h pour signaler un EIGS à l'ARS via le portail signalement-sante.gouv.fr (article L1413-14 du CSP).</w:t>
            </w:r>
          </w:p>
        </w:tc>
      </w:tr>
      <w:tr>
        <w:tc>
          <w:tcPr>
            <w:shd w:fill="EEF2F7" w:color="EEF2F7" w:val="clear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Lien avec le projet d'établissement</w:t>
            </w:r>
          </w:p>
        </w:tc>
        <w:tc>
          <w:tcPr>
            <w:shd w:fill="EEF2F7" w:color="EEF2F7" w:val="clear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La politique de gestion des risques doit être inscrite dans le projet d'établissement et le CPOM.</w:t>
            </w:r>
          </w:p>
        </w:tc>
      </w:tr>
    </w:tbl>
    <w:p>
      <w:pPr>
        <w:spacing w:after="200"/>
      </w:pPr>
    </w:p>
    <w:p>
      <w:pPr>
        <w:pBdr>
          <w:bottom w:val="single" w:color="CCCCCC" w:sz="6" w:space="1"/>
        </w:pBdr>
        <w:spacing w:after="200"/>
      </w:pPr>
    </w:p>
    <w:p>
      <w:pPr>
        <w:spacing w:after="140" w:before="38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📅 Plan d'action recommandé sur 3 mois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[ ] Mois 1 — Diagnostic interne : extraire d'AGEVAL les 10 derniers EIGS, évaluer la qualité des analyses (causes profondes identifiées ? oui/non)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[ ] Mois 1 — Lire le guide HAS + L'essentiel + Aide ESSMS (Sources/RBPP/eias-analyse-mode-emploi/)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[ ] Mois 2 — Formation d'une demi-journée à ALARM-E pour cadres + qualiticien + référent CREX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[ ] Mois 2 — Refonte du formulaire de déclaration AGEVAL pour intégrer les 7+1 catégories ALARM-E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[ ] Mois 2 — Création d'un guide d'entretien usager FALC pour le handicap mental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[ ] Mois 3 — Première RMM / CREX avec méthode ALARM-E intégrale, restitution au CVS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[ ] Mois 3 — Bilan : présentation au CODIR + intégration dans le rapport qualité annuel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[ ] Continu — Veille des nouvelles publications HAS sur la gestion des risques</w:t>
      </w:r>
    </w:p>
    <w:p>
      <w:pPr>
        <w:spacing w:after="200"/>
      </w:pPr>
    </w:p>
    <w:p>
      <w:pPr>
        <w:pBdr>
          <w:bottom w:val="single" w:color="CCCCCC" w:sz="6" w:space="1"/>
        </w:pBdr>
        <w:spacing w:after="200"/>
      </w:pPr>
    </w:p>
    <w:p>
      <w:pPr>
        <w:spacing w:after="140" w:before="38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🔗 Articulation avec d'autres référentiels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B3A6B" w:color="1B3A6B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Référentiel</w:t>
            </w:r>
          </w:p>
        </w:tc>
        <w:tc>
          <w:tcPr>
            <w:shd w:fill="1B3A6B" w:color="1B3A6B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Articulation</w:t>
            </w:r>
          </w:p>
        </w:tc>
      </w:tr>
      <w:tr>
        <w:tc>
          <w:tcPr>
            <w:shd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Référentiel HAS 2022 — Chapitre 3</w:t>
            </w:r>
          </w:p>
        </w:tc>
        <w:tc>
          <w:tcPr>
            <w:shd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Critères de gestion des risques (3.3) — preuves attendues via ALARM-E</w:t>
            </w:r>
          </w:p>
        </w:tc>
      </w:tr>
      <w:tr>
        <w:tc>
          <w:tcPr>
            <w:shd w:fill="EEF2F7" w:color="EEF2F7" w:val="clear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Loi 2002-2</w:t>
            </w:r>
          </w:p>
        </w:tc>
        <w:tc>
          <w:tcPr>
            <w:shd w:fill="EEF2F7" w:color="EEF2F7" w:val="clear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Droits des usagers : intégration de la parole patient</w:t>
            </w:r>
          </w:p>
        </w:tc>
      </w:tr>
      <w:tr>
        <w:tc>
          <w:tcPr>
            <w:shd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Article L1413-14 CSP</w:t>
            </w:r>
          </w:p>
        </w:tc>
        <w:tc>
          <w:tcPr>
            <w:shd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Obligation de déclaration EIGS à l'ARS sous 48h</w:t>
            </w:r>
          </w:p>
        </w:tc>
      </w:tr>
      <w:tr>
        <w:tc>
          <w:tcPr>
            <w:shd w:fill="EEF2F7" w:color="EEF2F7" w:val="clear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RBPP HAS Bientraitance</w:t>
            </w:r>
          </w:p>
        </w:tc>
        <w:tc>
          <w:tcPr>
            <w:shd w:fill="EEF2F7" w:color="EEF2F7" w:val="clear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Continuum entre prévention de la maltraitance et analyse des EIAS</w:t>
            </w:r>
          </w:p>
        </w:tc>
      </w:tr>
      <w:tr>
        <w:tc>
          <w:tcPr>
            <w:shd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CPOM</w:t>
            </w:r>
          </w:p>
        </w:tc>
        <w:tc>
          <w:tcPr>
            <w:shd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Indicateurs qualité ESMS — taux de signalement, taux d'analyse approfondie</w:t>
            </w:r>
          </w:p>
        </w:tc>
      </w:tr>
      <w:tr>
        <w:tc>
          <w:tcPr>
            <w:shd w:fill="EEF2F7" w:color="EEF2F7" w:val="clear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Projet d'établissement</w:t>
            </w:r>
          </w:p>
        </w:tc>
        <w:tc>
          <w:tcPr>
            <w:shd w:fill="EEF2F7" w:color="EEF2F7" w:val="clear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Politique de gestion des risques inscrite obligatoirement</w:t>
            </w:r>
          </w:p>
        </w:tc>
      </w:tr>
    </w:tbl>
    <w:p>
      <w:pPr>
        <w:spacing w:after="300"/>
      </w:pPr>
    </w:p>
    <w:p>
      <w:pPr>
        <w:pBdr>
          <w:bottom w:val="single" w:color="CCCCCC" w:sz="6" w:space="1"/>
        </w:pBdr>
        <w:spacing w:after="200"/>
      </w:pPr>
    </w:p>
    <w:p>
      <w:pPr>
        <w:jc w:val="center"/>
      </w:pPr>
      <w:r>
        <w:rPr>
          <w:rFonts w:ascii="Calibri" w:cs="Calibri" w:eastAsia="Calibri" w:hAnsi="Calibri"/>
          <w:color w:val="6B7280"/>
          <w:sz w:val="18"/>
          <w:szCs w:val="18"/>
        </w:rPr>
        <w:t xml:space="preserve">Source : HAS — Publication 16/04/2026 (MAJ 21/05/2026) — URL : has-sante.fr/jcms/p_3293652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93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2026-05-24T12:27:21.293Z</dcterms:created>
  <dcterms:modified xsi:type="dcterms:W3CDTF">2026-05-24T12:27:21.310Z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