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6B"/>
          <w:sz w:val="36"/>
          <w:szCs w:val="36"/>
        </w:rPr>
        <w:t xml:space="preserve">Veille SERAFIN-PH — Synthèse hebdomadaire</w:t>
      </w:r>
    </w:p>
    <w:p>
      <w:pPr>
        <w:spacing w:after="300"/>
        <w:jc w:val="center"/>
      </w:pPr>
      <w:r>
        <w:rPr>
          <w:rFonts w:ascii="Calibri" w:cs="Calibri" w:eastAsia="Calibri" w:hAnsi="Calibri"/>
          <w:color w:val="6B7280"/>
          <w:sz w:val="20"/>
          <w:szCs w:val="20"/>
        </w:rPr>
        <w:t xml:space="preserve">Date de production : 2026-06-05</w:t>
      </w:r>
    </w:p>
    <w:p>
      <w:pPr>
        <w:spacing w:after="140" w:before="380"/>
      </w:pPr>
      <w:r>
        <w:rPr>
          <w:rFonts w:ascii="Calibri" w:cs="Calibri" w:eastAsia="Calibri" w:hAnsi="Calibri"/>
          <w:b/>
          <w:bCs/>
          <w:color w:val="1B3A6B"/>
          <w:sz w:val="28"/>
          <w:szCs w:val="28"/>
        </w:rPr>
        <w:t xml:space="preserve">📋 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Calibri" w:cs="Calibri" w:eastAsia="Calibri" w:hAnsi="Calibri"/>
                <w:b/>
                <w:bCs/>
                <w:color w:val="FFFFFF"/>
                <w:sz w:val="20"/>
                <w:szCs w:val="20"/>
              </w:rPr>
              <w:t xml:space="preserve">Source</w:t>
            </w:r>
          </w:p>
        </w:tc>
        <w:tc>
          <w:tcPr>
            <w:shd w:fill="1B3A6B" w:color="1B3A6B" w:val="clear"/>
          </w:tcPr>
          <w:p>
            <w:pPr>
              <w:jc w:val="center"/>
            </w:pPr>
            <w:r>
              <w:rPr>
                <w:rFonts w:ascii="Calibri" w:cs="Calibri" w:eastAsia="Calibri" w:hAnsi="Calibri"/>
                <w:b/>
                <w:bCs/>
                <w:color w:val="FFFFFF"/>
                <w:sz w:val="20"/>
                <w:szCs w:val="20"/>
              </w:rPr>
              <w:t xml:space="preserve">URL</w:t>
            </w:r>
          </w:p>
        </w:tc>
        <w:tc>
          <w:tcPr>
            <w:shd w:fill="1B3A6B" w:color="1B3A6B" w:val="clear"/>
          </w:tcPr>
          <w:p>
            <w:pPr>
              <w:jc w:val="center"/>
            </w:pPr>
            <w:r>
              <w:rPr>
                <w:rFonts w:ascii="Calibri" w:cs="Calibri" w:eastAsia="Calibri" w:hAnsi="Calibri"/>
                <w:b/>
                <w:bCs/>
                <w:color w:val="FFFFFF"/>
                <w:sz w:val="20"/>
                <w:szCs w:val="20"/>
              </w:rPr>
              <w:t xml:space="preserve">Statut</w:t>
            </w:r>
          </w:p>
        </w:tc>
      </w:tr>
      <w:tr>
        <w:tc>
          <w:tcPr>
            <w:shd/>
          </w:tcPr>
          <w:p>
            <w:r>
              <w:rPr>
                <w:rFonts w:ascii="Calibri" w:cs="Calibri" w:eastAsia="Calibri" w:hAnsi="Calibri"/>
                <w:color w:val="1F2937"/>
                <w:sz w:val="20"/>
                <w:szCs w:val="20"/>
              </w:rPr>
              <w:t xml:space="preserve">handicap.gouv.fr</w:t>
            </w:r>
          </w:p>
        </w:tc>
        <w:tc>
          <w:tcPr>
            <w:shd/>
          </w:tcPr>
          <w:p>
            <w:r>
              <w:rPr>
                <w:rFonts w:ascii="Calibri" w:cs="Calibri" w:eastAsia="Calibri" w:hAnsi="Calibri"/>
                <w:color w:val="1F2937"/>
                <w:sz w:val="20"/>
                <w:szCs w:val="20"/>
              </w:rPr>
              <w:t xml:space="preserve">Comité stratégique SERAFIN-PH</w:t>
            </w:r>
          </w:p>
        </w:tc>
        <w:tc>
          <w:tcPr>
            <w:shd/>
          </w:tcPr>
          <w:p>
            <w:r>
              <w:rPr>
                <w:rFonts w:ascii="Calibri" w:cs="Calibri" w:eastAsia="Calibri" w:hAnsi="Calibri"/>
                <w:color w:val="1F2937"/>
                <w:sz w:val="20"/>
                <w:szCs w:val="20"/>
              </w:rPr>
              <w:t xml:space="preserve">✅ Accessible</w:t>
            </w:r>
          </w:p>
        </w:tc>
      </w:tr>
      <w:tr>
        <w:tc>
          <w:tcPr>
            <w:shd w:fill="EEF2F7" w:color="EEF2F7" w:val="clear"/>
          </w:tcPr>
          <w:p>
            <w:r>
              <w:rPr>
                <w:rFonts w:ascii="Calibri" w:cs="Calibri" w:eastAsia="Calibri" w:hAnsi="Calibri"/>
                <w:color w:val="1F2937"/>
                <w:sz w:val="20"/>
                <w:szCs w:val="20"/>
              </w:rPr>
              <w:t xml:space="preserve">cnsa.fr</w:t>
            </w:r>
          </w:p>
        </w:tc>
        <w:tc>
          <w:tcPr>
            <w:shd w:fill="EEF2F7" w:color="EEF2F7" w:val="clear"/>
          </w:tcPr>
          <w:p>
            <w:r>
              <w:rPr>
                <w:rFonts w:ascii="Calibri" w:cs="Calibri" w:eastAsia="Calibri" w:hAnsi="Calibri"/>
                <w:color w:val="1F2937"/>
                <w:sz w:val="20"/>
                <w:szCs w:val="20"/>
              </w:rPr>
              <w:t xml:space="preserve">Recueil PH 2026 — Préparation</w:t>
            </w:r>
          </w:p>
        </w:tc>
        <w:tc>
          <w:tcPr>
            <w:shd w:fill="EEF2F7" w:color="EEF2F7" w:val="clear"/>
          </w:tcPr>
          <w:p>
            <w:r>
              <w:rPr>
                <w:rFonts w:ascii="Calibri" w:cs="Calibri" w:eastAsia="Calibri" w:hAnsi="Calibri"/>
                <w:color w:val="1F2937"/>
                <w:sz w:val="20"/>
                <w:szCs w:val="20"/>
              </w:rPr>
              <w:t xml:space="preserve">✅ Accessible</w:t>
            </w:r>
          </w:p>
        </w:tc>
      </w:tr>
      <w:tr>
        <w:tc>
          <w:tcPr>
            <w:shd/>
          </w:tcPr>
          <w:p>
            <w:r>
              <w:rPr>
                <w:rFonts w:ascii="Calibri" w:cs="Calibri" w:eastAsia="Calibri" w:hAnsi="Calibri"/>
                <w:color w:val="1F2937"/>
                <w:sz w:val="20"/>
                <w:szCs w:val="20"/>
              </w:rPr>
              <w:t xml:space="preserve">atih.sante.fr</w:t>
            </w:r>
          </w:p>
        </w:tc>
        <w:tc>
          <w:tcPr>
            <w:shd/>
          </w:tcPr>
          <w:p>
            <w:r>
              <w:rPr>
                <w:rFonts w:ascii="Calibri" w:cs="Calibri" w:eastAsia="Calibri" w:hAnsi="Calibri"/>
                <w:color w:val="1F2937"/>
                <w:sz w:val="20"/>
                <w:szCs w:val="20"/>
              </w:rPr>
              <w:t xml:space="preserve">Recueil national PH 2025</w:t>
            </w:r>
          </w:p>
        </w:tc>
        <w:tc>
          <w:tcPr>
            <w:shd/>
          </w:tcPr>
          <w:p>
            <w:r>
              <w:rPr>
                <w:rFonts w:ascii="Calibri" w:cs="Calibri" w:eastAsia="Calibri" w:hAnsi="Calibri"/>
                <w:color w:val="1F2937"/>
                <w:sz w:val="20"/>
                <w:szCs w:val="20"/>
              </w:rPr>
              <w:t xml:space="preserve">✅ Accessible (Chrome)</w:t>
            </w:r>
          </w:p>
        </w:tc>
      </w:tr>
    </w:tbl>
    <w:p>
      <w:pPr>
        <w:spacing w:after="20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En bref — Tableau de bord</w:t>
      </w:r>
    </w:p>
    <w:p>
      <w:pPr>
        <w:spacing w:after="90"/>
      </w:pPr>
      <w:r>
        <w:rPr>
          <w:rFonts w:ascii="Calibri" w:cs="Calibri" w:eastAsia="Calibri" w:hAnsi="Calibri"/>
          <w:color w:val="1F2937"/>
          <w:sz w:val="22"/>
          <w:szCs w:val="22"/>
        </w:rPr>
        <w:t xml:space="preserve">Aucune actualité nouvelle détectée depuis la veille du 29/05/2026. Situation stable : phase d'attente entre la clôture du recueil PH 2025 (mai 2025) et le lancement prévu du recueil PH 2026 (mars 2026). Les deux phases du recueil 2026 (mars et mai 2026) sont désormais passées sans publication officielle de résultats.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Calibri" w:cs="Calibri" w:eastAsia="Calibri" w:hAnsi="Calibri"/>
                <w:b/>
                <w:bCs/>
                <w:color w:val="FFFFFF"/>
                <w:sz w:val="20"/>
                <w:szCs w:val="20"/>
              </w:rPr>
              <w:t xml:space="preserve">Thème</w:t>
            </w:r>
          </w:p>
        </w:tc>
        <w:tc>
          <w:tcPr>
            <w:shd w:fill="1B3A6B" w:color="1B3A6B" w:val="clear"/>
          </w:tcPr>
          <w:p>
            <w:pPr>
              <w:jc w:val="center"/>
            </w:pPr>
            <w:r>
              <w:rPr>
                <w:rFonts w:ascii="Calibri" w:cs="Calibri" w:eastAsia="Calibri" w:hAnsi="Calibri"/>
                <w:b/>
                <w:bCs/>
                <w:color w:val="FFFFFF"/>
                <w:sz w:val="20"/>
                <w:szCs w:val="20"/>
              </w:rPr>
              <w:t xml:space="preserve">Statut</w:t>
            </w:r>
          </w:p>
        </w:tc>
        <w:tc>
          <w:tcPr>
            <w:shd w:fill="1B3A6B" w:color="1B3A6B" w:val="clear"/>
          </w:tcPr>
          <w:p>
            <w:pPr>
              <w:jc w:val="center"/>
            </w:pPr>
            <w:r>
              <w:rPr>
                <w:rFonts w:ascii="Calibri" w:cs="Calibri" w:eastAsia="Calibri" w:hAnsi="Calibri"/>
                <w:b/>
                <w:bCs/>
                <w:color w:val="FFFFFF"/>
                <w:sz w:val="20"/>
                <w:szCs w:val="20"/>
              </w:rPr>
              <w:t xml:space="preserve">Échéance</w:t>
            </w:r>
          </w:p>
        </w:tc>
      </w:tr>
      <w:tr>
        <w:tc>
          <w:tcPr>
            <w:shd/>
          </w:tcPr>
          <w:p>
            <w:r>
              <w:rPr>
                <w:rFonts w:ascii="Calibri" w:cs="Calibri" w:eastAsia="Calibri" w:hAnsi="Calibri"/>
                <w:color w:val="1F2937"/>
                <w:sz w:val="20"/>
                <w:szCs w:val="20"/>
              </w:rPr>
              <w:t xml:space="preserve">Recueil PH 2025 — Clôturé</w:t>
            </w:r>
          </w:p>
        </w:tc>
        <w:tc>
          <w:tcPr>
            <w:shd/>
          </w:tcPr>
          <w:p>
            <w:r>
              <w:rPr>
                <w:rFonts w:ascii="Calibri" w:cs="Calibri" w:eastAsia="Calibri" w:hAnsi="Calibri"/>
                <w:color w:val="1F2937"/>
                <w:sz w:val="20"/>
                <w:szCs w:val="20"/>
              </w:rPr>
              <w:t xml:space="preserve">🟢 Terminé (16 mai 2025)</w:t>
            </w:r>
          </w:p>
        </w:tc>
        <w:tc>
          <w:tcPr>
            <w:shd/>
          </w:tcPr>
          <w:p>
            <w:r>
              <w:rPr>
                <w:rFonts w:ascii="Calibri" w:cs="Calibri" w:eastAsia="Calibri" w:hAnsi="Calibri"/>
                <w:color w:val="1F2937"/>
                <w:sz w:val="20"/>
                <w:szCs w:val="20"/>
              </w:rPr>
              <w:t xml:space="preserve">Terminé</w:t>
            </w:r>
          </w:p>
        </w:tc>
      </w:tr>
      <w:tr>
        <w:tc>
          <w:tcPr>
            <w:shd w:fill="EEF2F7" w:color="EEF2F7" w:val="clear"/>
          </w:tcPr>
          <w:p>
            <w:r>
              <w:rPr>
                <w:rFonts w:ascii="Calibri" w:cs="Calibri" w:eastAsia="Calibri" w:hAnsi="Calibri"/>
                <w:color w:val="1F2937"/>
                <w:sz w:val="20"/>
                <w:szCs w:val="20"/>
              </w:rPr>
              <w:t xml:space="preserve">Recueil PH 2026 — Phase 1</w:t>
            </w:r>
          </w:p>
        </w:tc>
        <w:tc>
          <w:tcPr>
            <w:shd w:fill="EEF2F7" w:color="EEF2F7" w:val="clear"/>
          </w:tcPr>
          <w:p>
            <w:r>
              <w:rPr>
                <w:rFonts w:ascii="Calibri" w:cs="Calibri" w:eastAsia="Calibri" w:hAnsi="Calibri"/>
                <w:color w:val="1F2937"/>
                <w:sz w:val="20"/>
                <w:szCs w:val="20"/>
              </w:rPr>
              <w:t xml:space="preserve">🟡 Passée (mars 2026) — résultats attendus</w:t>
            </w:r>
          </w:p>
        </w:tc>
        <w:tc>
          <w:tcPr>
            <w:shd w:fill="EEF2F7" w:color="EEF2F7" w:val="clear"/>
          </w:tcPr>
          <w:p>
            <w:r>
              <w:rPr>
                <w:rFonts w:ascii="Calibri" w:cs="Calibri" w:eastAsia="Calibri" w:hAnsi="Calibri"/>
                <w:color w:val="1F2937"/>
                <w:sz w:val="20"/>
                <w:szCs w:val="20"/>
              </w:rPr>
              <w:t xml:space="preserve">À confirmer</w:t>
            </w:r>
          </w:p>
        </w:tc>
      </w:tr>
      <w:tr>
        <w:tc>
          <w:tcPr>
            <w:shd/>
          </w:tcPr>
          <w:p>
            <w:r>
              <w:rPr>
                <w:rFonts w:ascii="Calibri" w:cs="Calibri" w:eastAsia="Calibri" w:hAnsi="Calibri"/>
                <w:color w:val="1F2937"/>
                <w:sz w:val="20"/>
                <w:szCs w:val="20"/>
              </w:rPr>
              <w:t xml:space="preserve">Recueil PH 2026 — Phase 2</w:t>
            </w:r>
          </w:p>
        </w:tc>
        <w:tc>
          <w:tcPr>
            <w:shd/>
          </w:tcPr>
          <w:p>
            <w:r>
              <w:rPr>
                <w:rFonts w:ascii="Calibri" w:cs="Calibri" w:eastAsia="Calibri" w:hAnsi="Calibri"/>
                <w:color w:val="1F2937"/>
                <w:sz w:val="20"/>
                <w:szCs w:val="20"/>
              </w:rPr>
              <w:t xml:space="preserve">🟡 Passée (mai 2026) — résultats attendus</w:t>
            </w:r>
          </w:p>
        </w:tc>
        <w:tc>
          <w:tcPr>
            <w:shd/>
          </w:tcPr>
          <w:p>
            <w:r>
              <w:rPr>
                <w:rFonts w:ascii="Calibri" w:cs="Calibri" w:eastAsia="Calibri" w:hAnsi="Calibri"/>
                <w:color w:val="1F2937"/>
                <w:sz w:val="20"/>
                <w:szCs w:val="20"/>
              </w:rPr>
              <w:t xml:space="preserve">À confirmer</w:t>
            </w:r>
          </w:p>
        </w:tc>
      </w:tr>
      <w:tr>
        <w:tc>
          <w:tcPr>
            <w:shd w:fill="EEF2F7" w:color="EEF2F7" w:val="clear"/>
          </w:tcPr>
          <w:p>
            <w:r>
              <w:rPr>
                <w:rFonts w:ascii="Calibri" w:cs="Calibri" w:eastAsia="Calibri" w:hAnsi="Calibri"/>
                <w:color w:val="1F2937"/>
                <w:sz w:val="20"/>
                <w:szCs w:val="20"/>
              </w:rPr>
              <w:t xml:space="preserve">Qualité données transport PH 2025</w:t>
            </w:r>
          </w:p>
        </w:tc>
        <w:tc>
          <w:tcPr>
            <w:shd w:fill="EEF2F7" w:color="EEF2F7" w:val="clear"/>
          </w:tcPr>
          <w:p>
            <w:r>
              <w:rPr>
                <w:rFonts w:ascii="Calibri" w:cs="Calibri" w:eastAsia="Calibri" w:hAnsi="Calibri"/>
                <w:color w:val="1F2937"/>
                <w:sz w:val="20"/>
                <w:szCs w:val="20"/>
              </w:rPr>
              <w:t xml:space="preserve">🟡 Travaux groupe technique</w:t>
            </w:r>
          </w:p>
        </w:tc>
        <w:tc>
          <w:tcPr>
            <w:shd w:fill="EEF2F7" w:color="EEF2F7" w:val="clear"/>
          </w:tcPr>
          <w:p>
            <w:r>
              <w:rPr>
                <w:rFonts w:ascii="Calibri" w:cs="Calibri" w:eastAsia="Calibri" w:hAnsi="Calibri"/>
                <w:color w:val="1F2937"/>
                <w:sz w:val="20"/>
                <w:szCs w:val="20"/>
              </w:rPr>
              <w:t xml:space="preserve">Fin 2025</w:t>
            </w:r>
          </w:p>
        </w:tc>
      </w:tr>
      <w:tr>
        <w:tc>
          <w:tcPr>
            <w:shd/>
          </w:tcPr>
          <w:p>
            <w:r>
              <w:rPr>
                <w:rFonts w:ascii="Calibri" w:cs="Calibri" w:eastAsia="Calibri" w:hAnsi="Calibri"/>
                <w:color w:val="1F2937"/>
                <w:sz w:val="20"/>
                <w:szCs w:val="20"/>
              </w:rPr>
              <w:t xml:space="preserve">Finalisation modèle de transition</w:t>
            </w:r>
          </w:p>
        </w:tc>
        <w:tc>
          <w:tcPr>
            <w:shd/>
          </w:tcPr>
          <w:p>
            <w:r>
              <w:rPr>
                <w:rFonts w:ascii="Calibri" w:cs="Calibri" w:eastAsia="Calibri" w:hAnsi="Calibri"/>
                <w:color w:val="1F2937"/>
                <w:sz w:val="20"/>
                <w:szCs w:val="20"/>
              </w:rPr>
              <w:t xml:space="preserve">🔵 En cours</w:t>
            </w:r>
          </w:p>
        </w:tc>
        <w:tc>
          <w:tcPr>
            <w:shd/>
          </w:tcPr>
          <w:p>
            <w:r>
              <w:rPr>
                <w:rFonts w:ascii="Calibri" w:cs="Calibri" w:eastAsia="Calibri" w:hAnsi="Calibri"/>
                <w:color w:val="1F2937"/>
                <w:sz w:val="20"/>
                <w:szCs w:val="20"/>
              </w:rPr>
              <w:t xml:space="preserve">Fin 2025 / début 2026</w:t>
            </w:r>
          </w:p>
        </w:tc>
      </w:tr>
      <w:tr>
        <w:tc>
          <w:tcPr>
            <w:shd w:fill="EEF2F7" w:color="EEF2F7" w:val="clear"/>
          </w:tcPr>
          <w:p>
            <w:r>
              <w:rPr>
                <w:rFonts w:ascii="Calibri" w:cs="Calibri" w:eastAsia="Calibri" w:hAnsi="Calibri"/>
                <w:color w:val="1F2937"/>
                <w:sz w:val="20"/>
                <w:szCs w:val="20"/>
              </w:rPr>
              <w:t xml:space="preserve">Simulations d'impact individualisées</w:t>
            </w:r>
          </w:p>
        </w:tc>
        <w:tc>
          <w:tcPr>
            <w:shd w:fill="EEF2F7" w:color="EEF2F7" w:val="clear"/>
          </w:tcPr>
          <w:p>
            <w:r>
              <w:rPr>
                <w:rFonts w:ascii="Calibri" w:cs="Calibri" w:eastAsia="Calibri" w:hAnsi="Calibri"/>
                <w:color w:val="1F2937"/>
                <w:sz w:val="20"/>
                <w:szCs w:val="20"/>
              </w:rPr>
              <w:t xml:space="preserve">🔵 Prévu</w:t>
            </w:r>
          </w:p>
        </w:tc>
        <w:tc>
          <w:tcPr>
            <w:shd w:fill="EEF2F7" w:color="EEF2F7" w:val="clear"/>
          </w:tcPr>
          <w:p>
            <w:r>
              <w:rPr>
                <w:rFonts w:ascii="Calibri" w:cs="Calibri" w:eastAsia="Calibri" w:hAnsi="Calibri"/>
                <w:color w:val="1F2937"/>
                <w:sz w:val="20"/>
                <w:szCs w:val="20"/>
              </w:rPr>
              <w:t xml:space="preserve">2026 — année blanche</w:t>
            </w:r>
          </w:p>
        </w:tc>
      </w:tr>
      <w:tr>
        <w:tc>
          <w:tcPr>
            <w:shd/>
          </w:tcPr>
          <w:p>
            <w:r>
              <w:rPr>
                <w:rFonts w:ascii="Calibri" w:cs="Calibri" w:eastAsia="Calibri" w:hAnsi="Calibri"/>
                <w:color w:val="1F2937"/>
                <w:sz w:val="20"/>
                <w:szCs w:val="20"/>
              </w:rPr>
              <w:t xml:space="preserve">Déploiement nouveau modèle tarifaire</w:t>
            </w:r>
          </w:p>
        </w:tc>
        <w:tc>
          <w:tcPr>
            <w:shd/>
          </w:tcPr>
          <w:p>
            <w:r>
              <w:rPr>
                <w:rFonts w:ascii="Calibri" w:cs="Calibri" w:eastAsia="Calibri" w:hAnsi="Calibri"/>
                <w:color w:val="1F2937"/>
                <w:sz w:val="20"/>
                <w:szCs w:val="20"/>
              </w:rPr>
              <w:t xml:space="preserve">🔵 Horizon cible</w:t>
            </w:r>
          </w:p>
        </w:tc>
        <w:tc>
          <w:tcPr>
            <w:shd/>
          </w:tcPr>
          <w:p>
            <w:r>
              <w:rPr>
                <w:rFonts w:ascii="Calibri" w:cs="Calibri" w:eastAsia="Calibri" w:hAnsi="Calibri"/>
                <w:color w:val="1F2937"/>
                <w:sz w:val="20"/>
                <w:szCs w:val="20"/>
              </w:rPr>
              <w:t xml:space="preserve">2027</w:t>
            </w:r>
          </w:p>
        </w:tc>
      </w:tr>
    </w:tbl>
    <w:p>
      <w:pPr>
        <w:spacing w:after="20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Point d'attention — Les 2 phases du recueil PH 2026 sont passées</w:t>
      </w:r>
    </w:p>
    <w:p>
      <w:pPr>
        <w:spacing w:after="90"/>
      </w:pPr>
      <w:r>
        <w:rPr>
          <w:rFonts w:ascii="Calibri" w:cs="Calibri" w:eastAsia="Calibri" w:hAnsi="Calibri"/>
          <w:i/>
          <w:iCs/>
          <w:color w:val="1F2937"/>
          <w:sz w:val="22"/>
          <w:szCs w:val="22"/>
        </w:rPr>
        <w:t xml:space="preserve">Le calendrier CNSA prévoyait deux phases de recueil au printemps 2026 : mars (caractéristiques des places) et mai (indicateurs de modulation). Ces deux échéances sont désormais dépassées sans publication officielle de résultats sur les sources consultées.</w:t>
      </w:r>
    </w:p>
    <w:p>
      <w:pPr>
        <w:spacing w:after="100" w:before="240"/>
      </w:pPr>
      <w:r>
        <w:rPr>
          <w:rFonts w:ascii="Calibri" w:cs="Calibri" w:eastAsia="Calibri" w:hAnsi="Calibri"/>
          <w:b/>
          <w:bCs/>
          <w:color w:val="1B3A6B"/>
          <w:sz w:val="24"/>
          <w:szCs w:val="24"/>
        </w:rPr>
        <w:t xml:space="preserve">Ce qu'il faut surveiller dans les prochaines semaines</w:t>
      </w:r>
    </w:p>
    <w:p>
      <w:pPr>
        <w:spacing w:after="80"/>
        <w:ind w:left="360"/>
      </w:pPr>
      <w:r>
        <w:rPr>
          <w:rFonts w:ascii="Calibri" w:cs="Calibri" w:eastAsia="Calibri" w:hAnsi="Calibri"/>
          <w:color w:val="1F2937"/>
          <w:sz w:val="22"/>
          <w:szCs w:val="22"/>
        </w:rPr>
        <w:t xml:space="preserve">• Publication CNSA/ATIH des résultats du recueil PH 2026 et des simulations d'impact</w:t>
      </w:r>
    </w:p>
    <w:p>
      <w:pPr>
        <w:spacing w:after="80"/>
        <w:ind w:left="360"/>
      </w:pPr>
      <w:r>
        <w:rPr>
          <w:rFonts w:ascii="Calibri" w:cs="Calibri" w:eastAsia="Calibri" w:hAnsi="Calibri"/>
          <w:color w:val="1F2937"/>
          <w:sz w:val="22"/>
          <w:szCs w:val="22"/>
        </w:rPr>
        <w:t xml:space="preserve">• Circulaire ARS sur les accès SIDOBA et résultats des simulations individualisées par établissement</w:t>
      </w:r>
    </w:p>
    <w:p>
      <w:pPr>
        <w:spacing w:after="80"/>
        <w:ind w:left="360"/>
      </w:pPr>
      <w:r>
        <w:rPr>
          <w:rFonts w:ascii="Calibri" w:cs="Calibri" w:eastAsia="Calibri" w:hAnsi="Calibri"/>
          <w:color w:val="1F2937"/>
          <w:sz w:val="22"/>
          <w:szCs w:val="22"/>
        </w:rPr>
        <w:t xml:space="preserve">• Calendrier de déploiement 2027 : trajectoire de convergence tarifaire</w:t>
      </w:r>
    </w:p>
    <w:p>
      <w:pPr>
        <w:spacing w:after="80"/>
        <w:ind w:left="360"/>
      </w:pPr>
      <w:r>
        <w:rPr>
          <w:rFonts w:ascii="Calibri" w:cs="Calibri" w:eastAsia="Calibri" w:hAnsi="Calibri"/>
          <w:color w:val="1F2937"/>
          <w:sz w:val="22"/>
          <w:szCs w:val="22"/>
        </w:rPr>
        <w:t xml:space="preserve">• Retours d'expérience des ESMS secteur enfance sur le recueil 2026</w:t>
      </w:r>
    </w:p>
    <w:p>
      <w:pPr>
        <w:spacing w:after="18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1. Comité stratégique SERAFIN-PH (handicap.gouv.fr)</w:t>
      </w:r>
    </w:p>
    <w:p>
      <w:pPr>
        <w:spacing w:after="90"/>
      </w:pPr>
      <w:r>
        <w:rPr>
          <w:rFonts w:ascii="Calibri" w:cs="Calibri" w:eastAsia="Calibri" w:hAnsi="Calibri"/>
          <w:color w:val="1F2937"/>
          <w:sz w:val="22"/>
          <w:szCs w:val="22"/>
        </w:rPr>
        <w:t xml:space="preserve">Dernière réunion : 2 juillet 2025. Pas d'actualisation publique depuis.</w:t>
      </w:r>
    </w:p>
    <w:p>
      <w:pPr>
        <w:spacing w:after="100" w:before="240"/>
      </w:pPr>
      <w:r>
        <w:rPr>
          <w:rFonts w:ascii="Calibri" w:cs="Calibri" w:eastAsia="Calibri" w:hAnsi="Calibri"/>
          <w:b/>
          <w:bCs/>
          <w:color w:val="1B3A6B"/>
          <w:sz w:val="24"/>
          <w:szCs w:val="24"/>
        </w:rPr>
        <w:t xml:space="preserve">Acquis confirmés</w:t>
      </w:r>
    </w:p>
    <w:p>
      <w:pPr>
        <w:spacing w:after="80"/>
        <w:ind w:left="360"/>
      </w:pPr>
      <w:r>
        <w:rPr>
          <w:rFonts w:ascii="Calibri" w:cs="Calibri" w:eastAsia="Calibri" w:hAnsi="Calibri"/>
          <w:color w:val="1F2937"/>
          <w:sz w:val="22"/>
          <w:szCs w:val="22"/>
        </w:rPr>
        <w:t xml:space="preserve">• 86 % des ESMS répondants au recueil PH 2025 (90 % des solutions installées)</w:t>
      </w:r>
    </w:p>
    <w:p>
      <w:pPr>
        <w:spacing w:after="80"/>
        <w:ind w:left="360"/>
      </w:pPr>
      <w:r>
        <w:rPr>
          <w:rFonts w:ascii="Calibri" w:cs="Calibri" w:eastAsia="Calibri" w:hAnsi="Calibri"/>
          <w:color w:val="1F2937"/>
          <w:sz w:val="22"/>
          <w:szCs w:val="22"/>
        </w:rPr>
        <w:t xml:space="preserve">• Passage de la place à la solution d'accompagnement</w:t>
      </w:r>
    </w:p>
    <w:p>
      <w:pPr>
        <w:spacing w:after="80"/>
        <w:ind w:left="360"/>
      </w:pPr>
      <w:r>
        <w:rPr>
          <w:rFonts w:ascii="Calibri" w:cs="Calibri" w:eastAsia="Calibri" w:hAnsi="Calibri"/>
          <w:color w:val="1F2937"/>
          <w:sz w:val="22"/>
          <w:szCs w:val="22"/>
        </w:rPr>
        <w:t xml:space="preserve">• Engagement ministériel : éviter les baisses de dotation</w:t>
      </w:r>
    </w:p>
    <w:p>
      <w:pPr>
        <w:spacing w:after="100" w:before="240"/>
      </w:pPr>
      <w:r>
        <w:rPr>
          <w:rFonts w:ascii="Calibri" w:cs="Calibri" w:eastAsia="Calibri" w:hAnsi="Calibri"/>
          <w:b/>
          <w:bCs/>
          <w:color w:val="1B3A6B"/>
          <w:sz w:val="24"/>
          <w:szCs w:val="24"/>
        </w:rPr>
        <w:t xml:space="preserve">Travaux annoncés</w:t>
      </w:r>
    </w:p>
    <w:p>
      <w:pPr>
        <w:spacing w:after="80"/>
        <w:ind w:left="360"/>
      </w:pPr>
      <w:r>
        <w:rPr>
          <w:rFonts w:ascii="Calibri" w:cs="Calibri" w:eastAsia="Calibri" w:hAnsi="Calibri"/>
          <w:color w:val="1F2937"/>
          <w:sz w:val="22"/>
          <w:szCs w:val="22"/>
        </w:rPr>
        <w:t xml:space="preserve">• Corrections qualité données transport (groupe technique national)</w:t>
      </w:r>
    </w:p>
    <w:p>
      <w:pPr>
        <w:spacing w:after="80"/>
        <w:ind w:left="360"/>
      </w:pPr>
      <w:r>
        <w:rPr>
          <w:rFonts w:ascii="Calibri" w:cs="Calibri" w:eastAsia="Calibri" w:hAnsi="Calibri"/>
          <w:color w:val="1F2937"/>
          <w:sz w:val="22"/>
          <w:szCs w:val="22"/>
        </w:rPr>
        <w:t xml:space="preserve">• Finalisation modèle de transition tarifaire</w:t>
      </w:r>
    </w:p>
    <w:p>
      <w:pPr>
        <w:spacing w:after="18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2. Recueil PH 2026 (cnsa.fr)</w:t>
      </w:r>
    </w:p>
    <w:p>
      <w:pPr>
        <w:spacing w:after="90"/>
      </w:pPr>
      <w:r>
        <w:rPr>
          <w:rFonts w:ascii="Calibri" w:cs="Calibri" w:eastAsia="Calibri" w:hAnsi="Calibri"/>
          <w:color w:val="1F2937"/>
          <w:sz w:val="22"/>
          <w:szCs w:val="22"/>
        </w:rPr>
        <w:t xml:space="preserve">Publication : 17/12/2025. Pas de mise à jour postérieure détectée.</w:t>
      </w:r>
    </w:p>
    <w:p>
      <w:pPr>
        <w:spacing w:after="100" w:before="240"/>
      </w:pPr>
      <w:r>
        <w:rPr>
          <w:rFonts w:ascii="Calibri" w:cs="Calibri" w:eastAsia="Calibri" w:hAnsi="Calibri"/>
          <w:b/>
          <w:bCs/>
          <w:color w:val="1B3A6B"/>
          <w:sz w:val="24"/>
          <w:szCs w:val="24"/>
        </w:rPr>
        <w:t xml:space="preserve">Bilan des phases passées (au 05/06/2026)</w:t>
      </w:r>
    </w:p>
    <w:p>
      <w:pPr>
        <w:spacing w:after="80"/>
        <w:ind w:left="360"/>
      </w:pPr>
      <w:r>
        <w:rPr>
          <w:rFonts w:ascii="Calibri" w:cs="Calibri" w:eastAsia="Calibri" w:hAnsi="Calibri"/>
          <w:color w:val="1F2937"/>
          <w:sz w:val="22"/>
          <w:szCs w:val="22"/>
        </w:rPr>
        <w:t xml:space="preserve">• Phase 1 (mars 2026) : caractéristiques des places — passée, résultats non publiés</w:t>
      </w:r>
    </w:p>
    <w:p>
      <w:pPr>
        <w:spacing w:after="80"/>
        <w:ind w:left="360"/>
      </w:pPr>
      <w:r>
        <w:rPr>
          <w:rFonts w:ascii="Calibri" w:cs="Calibri" w:eastAsia="Calibri" w:hAnsi="Calibri"/>
          <w:color w:val="1F2937"/>
          <w:sz w:val="22"/>
          <w:szCs w:val="22"/>
        </w:rPr>
        <w:t xml:space="preserve">• Phase 2 (mai 2026) : indicateurs modulation/dotation — passée, résultats non publiés</w:t>
      </w:r>
    </w:p>
    <w:p>
      <w:pPr>
        <w:spacing w:after="100" w:before="240"/>
      </w:pPr>
      <w:r>
        <w:rPr>
          <w:rFonts w:ascii="Calibri" w:cs="Calibri" w:eastAsia="Calibri" w:hAnsi="Calibri"/>
          <w:b/>
          <w:bCs/>
          <w:color w:val="1B3A6B"/>
          <w:sz w:val="24"/>
          <w:szCs w:val="24"/>
        </w:rPr>
        <w:t xml:space="preserve">Caractéristiques du recueil</w:t>
      </w:r>
    </w:p>
    <w:p>
      <w:pPr>
        <w:spacing w:after="80"/>
        <w:ind w:left="360"/>
      </w:pPr>
      <w:r>
        <w:rPr>
          <w:rFonts w:ascii="Calibri" w:cs="Calibri" w:eastAsia="Calibri" w:hAnsi="Calibri"/>
          <w:color w:val="1F2937"/>
          <w:sz w:val="22"/>
          <w:szCs w:val="22"/>
        </w:rPr>
        <w:t xml:space="preserve">• ~40 variables nécessaires à l'initialisation du modèle</w:t>
      </w:r>
    </w:p>
    <w:p>
      <w:pPr>
        <w:spacing w:after="80"/>
        <w:ind w:left="360"/>
      </w:pPr>
      <w:r>
        <w:rPr>
          <w:rFonts w:ascii="Calibri" w:cs="Calibri" w:eastAsia="Calibri" w:hAnsi="Calibri"/>
          <w:color w:val="1F2937"/>
          <w:sz w:val="22"/>
          <w:szCs w:val="22"/>
        </w:rPr>
        <w:t xml:space="preserve">• Outil : application SIDOBA — accès via ARS</w:t>
      </w:r>
    </w:p>
    <w:p>
      <w:pPr>
        <w:spacing w:after="80"/>
        <w:ind w:left="360"/>
      </w:pPr>
      <w:r>
        <w:rPr>
          <w:rFonts w:ascii="Calibri" w:cs="Calibri" w:eastAsia="Calibri" w:hAnsi="Calibri"/>
          <w:color w:val="1F2937"/>
          <w:sz w:val="22"/>
          <w:szCs w:val="22"/>
        </w:rPr>
        <w:t xml:space="preserve">• Année blanche : aucun impact financier en 2026</w:t>
      </w:r>
    </w:p>
    <w:p>
      <w:pPr>
        <w:spacing w:after="80"/>
        <w:ind w:left="360"/>
      </w:pPr>
      <w:r>
        <w:rPr>
          <w:rFonts w:ascii="Calibri" w:cs="Calibri" w:eastAsia="Calibri" w:hAnsi="Calibri"/>
          <w:color w:val="1F2937"/>
          <w:sz w:val="22"/>
          <w:szCs w:val="22"/>
        </w:rPr>
        <w:t xml:space="preserve">• Déploiement effectif du modèle tarifaire à partir de 2027</w:t>
      </w:r>
    </w:p>
    <w:p>
      <w:pPr>
        <w:spacing w:after="18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3. Recueil national PH 2025 (atih.sante.fr)</w:t>
      </w:r>
    </w:p>
    <w:p>
      <w:pPr>
        <w:spacing w:after="100" w:before="240"/>
      </w:pPr>
      <w:r>
        <w:rPr>
          <w:rFonts w:ascii="Calibri" w:cs="Calibri" w:eastAsia="Calibri" w:hAnsi="Calibri"/>
          <w:b/>
          <w:bCs/>
          <w:color w:val="1B3A6B"/>
          <w:sz w:val="24"/>
          <w:szCs w:val="24"/>
        </w:rPr>
        <w:t xml:space="preserve">Cadre</w:t>
      </w:r>
    </w:p>
    <w:p>
      <w:pPr>
        <w:spacing w:after="80"/>
        <w:ind w:left="360"/>
      </w:pPr>
      <w:r>
        <w:rPr>
          <w:rFonts w:ascii="Calibri" w:cs="Calibri" w:eastAsia="Calibri" w:hAnsi="Calibri"/>
          <w:color w:val="1F2937"/>
          <w:sz w:val="22"/>
          <w:szCs w:val="22"/>
        </w:rPr>
        <w:t xml:space="preserve">• Recueil clôturé : 16 mai 2025 (secteur enfance uniquement)</w:t>
      </w:r>
    </w:p>
    <w:p>
      <w:pPr>
        <w:spacing w:after="80"/>
        <w:ind w:left="360"/>
      </w:pPr>
      <w:r>
        <w:rPr>
          <w:rFonts w:ascii="Calibri" w:cs="Calibri" w:eastAsia="Calibri" w:hAnsi="Calibri"/>
          <w:color w:val="1F2937"/>
          <w:sz w:val="22"/>
          <w:szCs w:val="22"/>
        </w:rPr>
        <w:t xml:space="preserve">• Foyers d'hébergement adultes : hors périmètre 2025</w:t>
      </w:r>
    </w:p>
    <w:p>
      <w:pPr>
        <w:spacing w:after="100" w:before="240"/>
      </w:pPr>
      <w:r>
        <w:rPr>
          <w:rFonts w:ascii="Calibri" w:cs="Calibri" w:eastAsia="Calibri" w:hAnsi="Calibri"/>
          <w:b/>
          <w:bCs/>
          <w:color w:val="1B3A6B"/>
          <w:sz w:val="24"/>
          <w:szCs w:val="24"/>
        </w:rPr>
        <w:t xml:space="preserve">Documentation disponible</w:t>
      </w:r>
    </w:p>
    <w:p>
      <w:pPr>
        <w:spacing w:after="80"/>
        <w:ind w:left="360"/>
      </w:pPr>
      <w:r>
        <w:rPr>
          <w:rFonts w:ascii="Calibri" w:cs="Calibri" w:eastAsia="Calibri" w:hAnsi="Calibri"/>
          <w:color w:val="1F2937"/>
          <w:sz w:val="22"/>
          <w:szCs w:val="22"/>
        </w:rPr>
        <w:t xml:space="preserve">• FAQ mise à jour le 14/05/2025</w:t>
      </w:r>
    </w:p>
    <w:p>
      <w:pPr>
        <w:spacing w:after="80"/>
        <w:ind w:left="360"/>
      </w:pPr>
      <w:r>
        <w:rPr>
          <w:rFonts w:ascii="Calibri" w:cs="Calibri" w:eastAsia="Calibri" w:hAnsi="Calibri"/>
          <w:color w:val="1F2937"/>
          <w:sz w:val="22"/>
          <w:szCs w:val="22"/>
        </w:rPr>
        <w:t xml:space="preserve">• Webinaire d'appui du 07/05/2025 (replay, MdP : hNAkpM7w)</w:t>
      </w:r>
    </w:p>
    <w:p>
      <w:pPr>
        <w:spacing w:after="100" w:before="240"/>
      </w:pPr>
      <w:r>
        <w:rPr>
          <w:rFonts w:ascii="Calibri" w:cs="Calibri" w:eastAsia="Calibri" w:hAnsi="Calibri"/>
          <w:b/>
          <w:bCs/>
          <w:color w:val="1B3A6B"/>
          <w:sz w:val="24"/>
          <w:szCs w:val="24"/>
        </w:rPr>
        <w:t xml:space="preserve">Contacts</w:t>
      </w:r>
    </w:p>
    <w:p>
      <w:pPr>
        <w:spacing w:after="80"/>
        <w:ind w:left="360"/>
      </w:pPr>
      <w:r>
        <w:rPr>
          <w:rFonts w:ascii="Calibri" w:cs="Calibri" w:eastAsia="Calibri" w:hAnsi="Calibri"/>
          <w:color w:val="1F2937"/>
          <w:sz w:val="22"/>
          <w:szCs w:val="22"/>
        </w:rPr>
        <w:t xml:space="preserve">• Méthodo : methodo.ph@excolyon.com</w:t>
      </w:r>
    </w:p>
    <w:p>
      <w:pPr>
        <w:spacing w:after="80"/>
        <w:ind w:left="360"/>
      </w:pPr>
      <w:r>
        <w:rPr>
          <w:rFonts w:ascii="Calibri" w:cs="Calibri" w:eastAsia="Calibri" w:hAnsi="Calibri"/>
          <w:color w:val="1F2937"/>
          <w:sz w:val="22"/>
          <w:szCs w:val="22"/>
        </w:rPr>
        <w:t xml:space="preserve">• Technique : support@atih.sante.fr</w:t>
      </w:r>
    </w:p>
    <w:p>
      <w:pPr>
        <w:spacing w:after="18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clear"/>
          </w:tcPr>
          <w:p>
            <w:pPr>
              <w:jc w:val="center"/>
            </w:pPr>
            <w:r>
              <w:rPr>
                <w:rFonts w:ascii="Calibri" w:cs="Calibri" w:eastAsia="Calibri" w:hAnsi="Calibri"/>
                <w:b/>
                <w:bCs/>
                <w:color w:val="FFFFFF"/>
                <w:sz w:val="20"/>
                <w:szCs w:val="20"/>
              </w:rPr>
              <w:t xml:space="preserve">⚠️ Point de vigilance</w:t>
            </w:r>
          </w:p>
        </w:tc>
        <w:tc>
          <w:tcPr>
            <w:shd w:fill="1B3A6B" w:color="1B3A6B" w:val="clear"/>
          </w:tcPr>
          <w:p>
            <w:pPr>
              <w:jc w:val="center"/>
            </w:pPr>
            <w:r>
              <w:rPr>
                <w:rFonts w:ascii="Calibri" w:cs="Calibri" w:eastAsia="Calibri" w:hAnsi="Calibri"/>
                <w:b/>
                <w:bCs/>
                <w:color w:val="FFFFFF"/>
                <w:sz w:val="20"/>
                <w:szCs w:val="20"/>
              </w:rPr>
              <w:t xml:space="preserve">Détail pratique</w:t>
            </w:r>
          </w:p>
        </w:tc>
      </w:tr>
      <w:tr>
        <w:tc>
          <w:tcPr>
            <w:shd/>
          </w:tcPr>
          <w:p>
            <w:r>
              <w:rPr>
                <w:rFonts w:ascii="Calibri" w:cs="Calibri" w:eastAsia="Calibri" w:hAnsi="Calibri"/>
                <w:color w:val="1F2937"/>
                <w:sz w:val="20"/>
                <w:szCs w:val="20"/>
              </w:rPr>
              <w:t xml:space="preserve">Résultats recueil PH 2026 attendus</w:t>
            </w:r>
          </w:p>
        </w:tc>
        <w:tc>
          <w:tcPr>
            <w:shd/>
          </w:tcPr>
          <w:p>
            <w:r>
              <w:rPr>
                <w:rFonts w:ascii="Calibri" w:cs="Calibri" w:eastAsia="Calibri" w:hAnsi="Calibri"/>
                <w:color w:val="1F2937"/>
                <w:sz w:val="20"/>
                <w:szCs w:val="20"/>
              </w:rPr>
              <w:t xml:space="preserve">Les deux phases sont passées (mars + mai 2026). Surveiller activement toute communication CNSA/ARS sur les simulations d'impact individualisées.</w:t>
            </w:r>
          </w:p>
        </w:tc>
      </w:tr>
      <w:tr>
        <w:tc>
          <w:tcPr>
            <w:shd w:fill="EEF2F7" w:color="EEF2F7" w:val="clear"/>
          </w:tcPr>
          <w:p>
            <w:r>
              <w:rPr>
                <w:rFonts w:ascii="Calibri" w:cs="Calibri" w:eastAsia="Calibri" w:hAnsi="Calibri"/>
                <w:color w:val="1F2937"/>
                <w:sz w:val="20"/>
                <w:szCs w:val="20"/>
              </w:rPr>
              <w:t xml:space="preserve">SIDOBA — maintenir les accès</w:t>
            </w:r>
          </w:p>
        </w:tc>
        <w:tc>
          <w:tcPr>
            <w:shd w:fill="EEF2F7" w:color="EEF2F7" w:val="clear"/>
          </w:tcPr>
          <w:p>
            <w:r>
              <w:rPr>
                <w:rFonts w:ascii="Calibri" w:cs="Calibri" w:eastAsia="Calibri" w:hAnsi="Calibri"/>
                <w:color w:val="1F2937"/>
                <w:sz w:val="20"/>
                <w:szCs w:val="20"/>
              </w:rPr>
              <w:t xml:space="preserve">Vérifier que le compte PLAGE est actif pour recevoir les simulations d'impact dès leur publication.</w:t>
            </w:r>
          </w:p>
        </w:tc>
      </w:tr>
      <w:tr>
        <w:tc>
          <w:tcPr>
            <w:shd/>
          </w:tcPr>
          <w:p>
            <w:r>
              <w:rPr>
                <w:rFonts w:ascii="Calibri" w:cs="Calibri" w:eastAsia="Calibri" w:hAnsi="Calibri"/>
                <w:color w:val="1F2937"/>
                <w:sz w:val="20"/>
                <w:szCs w:val="20"/>
              </w:rPr>
              <w:t xml:space="preserve">Foyer d'hébergement adultes</w:t>
            </w:r>
          </w:p>
        </w:tc>
        <w:tc>
          <w:tcPr>
            <w:shd/>
          </w:tcPr>
          <w:p>
            <w:r>
              <w:rPr>
                <w:rFonts w:ascii="Calibri" w:cs="Calibri" w:eastAsia="Calibri" w:hAnsi="Calibri"/>
                <w:color w:val="1F2937"/>
                <w:sz w:val="20"/>
                <w:szCs w:val="20"/>
              </w:rPr>
              <w:t xml:space="preserve">Hors périmètre 2025 et 2026 (secteur enfance). Attendre la circulaire sur le périmètre adultes.</w:t>
            </w:r>
          </w:p>
        </w:tc>
      </w:tr>
      <w:tr>
        <w:tc>
          <w:tcPr>
            <w:shd w:fill="EEF2F7" w:color="EEF2F7" w:val="clear"/>
          </w:tcPr>
          <w:p>
            <w:r>
              <w:rPr>
                <w:rFonts w:ascii="Calibri" w:cs="Calibri" w:eastAsia="Calibri" w:hAnsi="Calibri"/>
                <w:color w:val="1F2937"/>
                <w:sz w:val="20"/>
                <w:szCs w:val="20"/>
              </w:rPr>
              <w:t xml:space="preserve">Modèle place → solution d'accompagnement</w:t>
            </w:r>
          </w:p>
        </w:tc>
        <w:tc>
          <w:tcPr>
            <w:shd w:fill="EEF2F7" w:color="EEF2F7" w:val="clear"/>
          </w:tcPr>
          <w:p>
            <w:r>
              <w:rPr>
                <w:rFonts w:ascii="Calibri" w:cs="Calibri" w:eastAsia="Calibri" w:hAnsi="Calibri"/>
                <w:color w:val="1F2937"/>
                <w:sz w:val="20"/>
                <w:szCs w:val="20"/>
              </w:rPr>
              <w:t xml:space="preserve">Anticiper la révision des outils de pilotage internes (tableaux de bord, indicateurs d'activité).</w:t>
            </w:r>
          </w:p>
        </w:tc>
      </w:tr>
      <w:tr>
        <w:tc>
          <w:tcPr>
            <w:shd/>
          </w:tcPr>
          <w:p>
            <w:r>
              <w:rPr>
                <w:rFonts w:ascii="Calibri" w:cs="Calibri" w:eastAsia="Calibri" w:hAnsi="Calibri"/>
                <w:color w:val="1F2937"/>
                <w:sz w:val="20"/>
                <w:szCs w:val="20"/>
              </w:rPr>
              <w:t xml:space="preserve">Articulation CPOM</w:t>
            </w:r>
          </w:p>
        </w:tc>
        <w:tc>
          <w:tcPr>
            <w:shd/>
          </w:tcPr>
          <w:p>
            <w:r>
              <w:rPr>
                <w:rFonts w:ascii="Calibri" w:cs="Calibri" w:eastAsia="Calibri" w:hAnsi="Calibri"/>
                <w:color w:val="1F2937"/>
                <w:sz w:val="20"/>
                <w:szCs w:val="20"/>
              </w:rPr>
              <w:t xml:space="preserve">Vérifier la cohérence des engagements CPOM avec la trajectoire SERAFIN-PH 2027.</w:t>
            </w:r>
          </w:p>
        </w:tc>
      </w:tr>
      <w:tr>
        <w:tc>
          <w:tcPr>
            <w:shd w:fill="EEF2F7" w:color="EEF2F7" w:val="clear"/>
          </w:tcPr>
          <w:p>
            <w:r>
              <w:rPr>
                <w:rFonts w:ascii="Calibri" w:cs="Calibri" w:eastAsia="Calibri" w:hAnsi="Calibri"/>
                <w:color w:val="1F2937"/>
                <w:sz w:val="20"/>
                <w:szCs w:val="20"/>
              </w:rPr>
              <w:t xml:space="preserve">Communication interne</w:t>
            </w:r>
          </w:p>
        </w:tc>
        <w:tc>
          <w:tcPr>
            <w:shd w:fill="EEF2F7" w:color="EEF2F7" w:val="clear"/>
          </w:tcPr>
          <w:p>
            <w:r>
              <w:rPr>
                <w:rFonts w:ascii="Calibri" w:cs="Calibri" w:eastAsia="Calibri" w:hAnsi="Calibri"/>
                <w:color w:val="1F2937"/>
                <w:sz w:val="20"/>
                <w:szCs w:val="20"/>
              </w:rPr>
              <w:t xml:space="preserve">Préparer une note pour informer les équipes : aucun impact financier en 2026, déploiement en 2027.</w:t>
            </w:r>
          </w:p>
        </w:tc>
      </w:tr>
    </w:tbl>
    <w:p>
      <w:pPr>
        <w:spacing w:after="20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Agenda — Prochains rendez-vous</w:t>
      </w:r>
    </w:p>
    <w:p>
      <w:pPr>
        <w:spacing w:after="80"/>
        <w:ind w:left="360"/>
      </w:pPr>
      <w:r>
        <w:rPr>
          <w:rFonts w:ascii="Calibri" w:cs="Calibri" w:eastAsia="Calibri" w:hAnsi="Calibri"/>
          <w:color w:val="1F2937"/>
          <w:sz w:val="22"/>
          <w:szCs w:val="22"/>
        </w:rPr>
        <w:t xml:space="preserve">• [ ] À venir — Publication CNSA des résultats recueil PH 2026 et simulations d'impact</w:t>
      </w:r>
    </w:p>
    <w:p>
      <w:pPr>
        <w:spacing w:after="80"/>
        <w:ind w:left="360"/>
      </w:pPr>
      <w:r>
        <w:rPr>
          <w:rFonts w:ascii="Calibri" w:cs="Calibri" w:eastAsia="Calibri" w:hAnsi="Calibri"/>
          <w:color w:val="1F2937"/>
          <w:sz w:val="22"/>
          <w:szCs w:val="22"/>
        </w:rPr>
        <w:t xml:space="preserve">• [ ] À venir — Circulaire ARS sur les simulations individualisées par établissement</w:t>
      </w:r>
    </w:p>
    <w:p>
      <w:pPr>
        <w:spacing w:after="80"/>
        <w:ind w:left="360"/>
      </w:pPr>
      <w:r>
        <w:rPr>
          <w:rFonts w:ascii="Calibri" w:cs="Calibri" w:eastAsia="Calibri" w:hAnsi="Calibri"/>
          <w:color w:val="1F2937"/>
          <w:sz w:val="22"/>
          <w:szCs w:val="22"/>
        </w:rPr>
        <w:t xml:space="preserve">• [ ] Fin 2025/début 2026 — Finalisation modèle de transition tarifaire</w:t>
      </w:r>
    </w:p>
    <w:p>
      <w:pPr>
        <w:spacing w:after="80"/>
        <w:ind w:left="360"/>
      </w:pPr>
      <w:r>
        <w:rPr>
          <w:rFonts w:ascii="Calibri" w:cs="Calibri" w:eastAsia="Calibri" w:hAnsi="Calibri"/>
          <w:color w:val="1F2937"/>
          <w:sz w:val="22"/>
          <w:szCs w:val="22"/>
        </w:rPr>
        <w:t xml:space="preserve">• [ ] 2026 — Réception et analyse des simulations d'impact (année blanche)</w:t>
      </w:r>
    </w:p>
    <w:p>
      <w:pPr>
        <w:spacing w:after="80"/>
        <w:ind w:left="360"/>
      </w:pPr>
      <w:r>
        <w:rPr>
          <w:rFonts w:ascii="Calibri" w:cs="Calibri" w:eastAsia="Calibri" w:hAnsi="Calibri"/>
          <w:color w:val="1F2937"/>
          <w:sz w:val="22"/>
          <w:szCs w:val="22"/>
        </w:rPr>
        <w:t xml:space="preserve">• [ ] 2027 — Déploiement effectif du nouveau modèle tarifaire SERAFIN-PH</w:t>
      </w:r>
    </w:p>
    <w:p>
      <w:pPr>
        <w:spacing w:after="200"/>
      </w:pPr>
    </w:p>
    <w:p>
      <w:pPr>
        <w:pBdr>
          <w:bottom w:val="single" w:color="CCCCCC" w:sz="6" w:space="1"/>
        </w:pBdr>
        <w:spacing w:after="200"/>
      </w:pPr>
    </w:p>
    <w:p>
      <w:pPr>
        <w:spacing w:after="140" w:before="380"/>
      </w:pPr>
      <w:r>
        <w:rPr>
          <w:rFonts w:ascii="Calibri" w:cs="Calibri" w:eastAsia="Calibri" w:hAnsi="Calibri"/>
          <w:b/>
          <w:bCs/>
          <w:color w:val="1B3A6B"/>
          <w:sz w:val="28"/>
          <w:szCs w:val="28"/>
        </w:rPr>
        <w:t xml:space="preserve">🏛️ Rappel — Rôle des acteurs SERAFIN-PH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3A6B" w:color="1B3A6B" w:val="clear"/>
          </w:tcPr>
          <w:p>
            <w:pPr>
              <w:jc w:val="center"/>
            </w:pPr>
            <w:r>
              <w:rPr>
                <w:rFonts w:ascii="Calibri" w:cs="Calibri" w:eastAsia="Calibri" w:hAnsi="Calibri"/>
                <w:b/>
                <w:bCs/>
                <w:color w:val="FFFFFF"/>
                <w:sz w:val="20"/>
                <w:szCs w:val="20"/>
              </w:rPr>
              <w:t xml:space="preserve">Acteur</w:t>
            </w:r>
          </w:p>
        </w:tc>
        <w:tc>
          <w:tcPr>
            <w:shd w:fill="1B3A6B" w:color="1B3A6B" w:val="clear"/>
          </w:tcPr>
          <w:p>
            <w:pPr>
              <w:jc w:val="center"/>
            </w:pPr>
            <w:r>
              <w:rPr>
                <w:rFonts w:ascii="Calibri" w:cs="Calibri" w:eastAsia="Calibri" w:hAnsi="Calibri"/>
                <w:b/>
                <w:bCs/>
                <w:color w:val="FFFFFF"/>
                <w:sz w:val="20"/>
                <w:szCs w:val="20"/>
              </w:rPr>
              <w:t xml:space="preserve">Rôle</w:t>
            </w:r>
          </w:p>
        </w:tc>
      </w:tr>
      <w:tr>
        <w:tc>
          <w:tcPr>
            <w:shd/>
          </w:tcPr>
          <w:p>
            <w:r>
              <w:rPr>
                <w:rFonts w:ascii="Calibri" w:cs="Calibri" w:eastAsia="Calibri" w:hAnsi="Calibri"/>
                <w:color w:val="1F2937"/>
                <w:sz w:val="20"/>
                <w:szCs w:val="20"/>
              </w:rPr>
              <w:t xml:space="preserve">DGCS</w:t>
            </w:r>
          </w:p>
        </w:tc>
        <w:tc>
          <w:tcPr>
            <w:shd/>
          </w:tcPr>
          <w:p>
            <w:r>
              <w:rPr>
                <w:rFonts w:ascii="Calibri" w:cs="Calibri" w:eastAsia="Calibri" w:hAnsi="Calibri"/>
                <w:color w:val="1F2937"/>
                <w:sz w:val="20"/>
                <w:szCs w:val="20"/>
              </w:rPr>
              <w:t xml:space="preserve">Pilotage politique, co-pilote avec la CNSA</w:t>
            </w:r>
          </w:p>
        </w:tc>
      </w:tr>
      <w:tr>
        <w:tc>
          <w:tcPr>
            <w:shd w:fill="EEF2F7" w:color="EEF2F7" w:val="clear"/>
          </w:tcPr>
          <w:p>
            <w:r>
              <w:rPr>
                <w:rFonts w:ascii="Calibri" w:cs="Calibri" w:eastAsia="Calibri" w:hAnsi="Calibri"/>
                <w:color w:val="1F2937"/>
                <w:sz w:val="20"/>
                <w:szCs w:val="20"/>
              </w:rPr>
              <w:t xml:space="preserve">CNSA</w:t>
            </w:r>
          </w:p>
        </w:tc>
        <w:tc>
          <w:tcPr>
            <w:shd w:fill="EEF2F7" w:color="EEF2F7" w:val="clear"/>
          </w:tcPr>
          <w:p>
            <w:r>
              <w:rPr>
                <w:rFonts w:ascii="Calibri" w:cs="Calibri" w:eastAsia="Calibri" w:hAnsi="Calibri"/>
                <w:color w:val="1F2937"/>
                <w:sz w:val="20"/>
                <w:szCs w:val="20"/>
              </w:rPr>
              <w:t xml:space="preserve">Coordination nationale, animation du dispositif, publication des résultats</w:t>
            </w:r>
          </w:p>
        </w:tc>
      </w:tr>
      <w:tr>
        <w:tc>
          <w:tcPr>
            <w:shd/>
          </w:tcPr>
          <w:p>
            <w:r>
              <w:rPr>
                <w:rFonts w:ascii="Calibri" w:cs="Calibri" w:eastAsia="Calibri" w:hAnsi="Calibri"/>
                <w:color w:val="1F2937"/>
                <w:sz w:val="20"/>
                <w:szCs w:val="20"/>
              </w:rPr>
              <w:t xml:space="preserve">ATIH</w:t>
            </w:r>
          </w:p>
        </w:tc>
        <w:tc>
          <w:tcPr>
            <w:shd/>
          </w:tcPr>
          <w:p>
            <w:r>
              <w:rPr>
                <w:rFonts w:ascii="Calibri" w:cs="Calibri" w:eastAsia="Calibri" w:hAnsi="Calibri"/>
                <w:color w:val="1F2937"/>
                <w:sz w:val="20"/>
                <w:szCs w:val="20"/>
              </w:rPr>
              <w:t xml:space="preserve">Conception et gestion du recueil, logiciels RAMSECE-PH et e-PH</w:t>
            </w:r>
          </w:p>
        </w:tc>
      </w:tr>
      <w:tr>
        <w:tc>
          <w:tcPr>
            <w:shd w:fill="EEF2F7" w:color="EEF2F7" w:val="clear"/>
          </w:tcPr>
          <w:p>
            <w:r>
              <w:rPr>
                <w:rFonts w:ascii="Calibri" w:cs="Calibri" w:eastAsia="Calibri" w:hAnsi="Calibri"/>
                <w:color w:val="1F2937"/>
                <w:sz w:val="20"/>
                <w:szCs w:val="20"/>
              </w:rPr>
              <w:t xml:space="preserve">ARS</w:t>
            </w:r>
          </w:p>
        </w:tc>
        <w:tc>
          <w:tcPr>
            <w:shd w:fill="EEF2F7" w:color="EEF2F7" w:val="clear"/>
          </w:tcPr>
          <w:p>
            <w:r>
              <w:rPr>
                <w:rFonts w:ascii="Calibri" w:cs="Calibri" w:eastAsia="Calibri" w:hAnsi="Calibri"/>
                <w:color w:val="1F2937"/>
                <w:sz w:val="20"/>
                <w:szCs w:val="20"/>
              </w:rPr>
              <w:t xml:space="preserve">Relais régional, transmission des accès SIDOBA et des simulations</w:t>
            </w:r>
          </w:p>
        </w:tc>
      </w:tr>
      <w:tr>
        <w:tc>
          <w:tcPr>
            <w:shd/>
          </w:tcPr>
          <w:p>
            <w:r>
              <w:rPr>
                <w:rFonts w:ascii="Calibri" w:cs="Calibri" w:eastAsia="Calibri" w:hAnsi="Calibri"/>
                <w:color w:val="1F2937"/>
                <w:sz w:val="20"/>
                <w:szCs w:val="20"/>
              </w:rPr>
              <w:t xml:space="preserve">ESMS</w:t>
            </w:r>
          </w:p>
        </w:tc>
        <w:tc>
          <w:tcPr>
            <w:shd/>
          </w:tcPr>
          <w:p>
            <w:r>
              <w:rPr>
                <w:rFonts w:ascii="Calibri" w:cs="Calibri" w:eastAsia="Calibri" w:hAnsi="Calibri"/>
                <w:color w:val="1F2937"/>
                <w:sz w:val="20"/>
                <w:szCs w:val="20"/>
              </w:rPr>
              <w:t xml:space="preserve">Participation au recueil, exploitation des simulations pour anticipation 2027</w:t>
            </w:r>
          </w:p>
        </w:tc>
      </w:tr>
    </w:tbl>
    <w:p>
      <w:pPr>
        <w:spacing w:after="300"/>
      </w:pPr>
    </w:p>
    <w:p>
      <w:pPr>
        <w:pBdr>
          <w:bottom w:val="single" w:color="CCCCCC" w:sz="6" w:space="1"/>
        </w:pBdr>
        <w:spacing w:after="200"/>
      </w:pPr>
    </w:p>
    <w:p>
      <w:pPr>
        <w:jc w:val="center"/>
      </w:pPr>
      <w:r>
        <w:rPr>
          <w:rFonts w:ascii="Calibri" w:cs="Calibri" w:eastAsia="Calibri" w:hAnsi="Calibri"/>
          <w:color w:val="6B7280"/>
          <w:sz w:val="18"/>
          <w:szCs w:val="18"/>
        </w:rPr>
        <w:t xml:space="preserve">Veille produite le 2026-06-05 — Sources : handicap.gouv.fr ✅ · cnsa.fr ✅ · atih.sante.fr ✅ — Aucune nouveauté détectée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2026-06-05T21:26:38.160Z</dcterms:created>
  <dcterms:modified xsi:type="dcterms:W3CDTF">2026-06-05T21:26:38.180Z</dcterms:modified>
</cp:coreProperties>
</file>

<file path=docProps/custom.xml><?xml version="1.0" encoding="utf-8"?>
<Properties xmlns="http://schemas.openxmlformats.org/officeDocument/2006/custom-properties" xmlns:vt="http://schemas.openxmlformats.org/officeDocument/2006/docPropsVTypes"/>
</file>