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 quotidien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2026-06-08 • Règlement UE 2024/1689 sur l'intelligence artificielle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Niveau d'alerte du jour : </w:t>
      </w:r>
      <w:r>
        <w:rPr>
          <w:rFonts w:ascii="Calibri" w:cs="Calibri" w:eastAsia="Calibri" w:hAnsi="Calibri"/>
          <w:b/>
          <w:bCs/>
          <w:color w:val="C77700"/>
          <w:sz w:val="24"/>
          <w:szCs w:val="24"/>
        </w:rPr>
        <w:t xml:space="preserve">🟡 À SURVEILLER</w:t>
      </w:r>
      <w:r>
        <w:rPr>
          <w:rFonts w:ascii="Calibri" w:cs="Calibri" w:eastAsia="Calibri" w:hAnsi="Calibri"/>
          <w:color w:val="0B7A3B"/>
          <w:sz w:val="22"/>
          <w:szCs w:val="22"/>
        </w:rPr>
        <w:t xml:space="preserve">   •   Sources accessibles : 7/7 ✅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Digital Omnibus : l'accord provisoire Conseil/Parlement/Commission du 7 mai 2026 reporte les obligations des systèmes IA à haut risque de l'annexe III du 2 août 2026 au 2 décembre 2027 (premier amendement de l'AI Act depuis 2024). Adoption formelle attendue en juin, publication en juillet.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Transparence (article 50) : les obligations de transparence entrent en application en août 2026 ; le marquage machine-readable des contenus générés par IA est reporté au 2 décembre 2026.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Nouvelles interdictions : usage de l'IA pour générer des contenus intimes non consentis (« nudification ») et du matériel pédocriminel (CSAM) interdit à compter du 2 décembre 2026.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Consultations ouvertes : la Commission consulte sur les lignes directrices « classification haut risque » (19 mai 2026) et sur les « obligations de transparence » (8 mai 2026). Guidelines transparence publiées au T2 2026.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Renfort de l'application : la Commission a sécurisé un appui d'experts indépendants pour renforcer l'enforcement de l'AI Act dans les États membres (1er juin 2026).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août 2026 — Entrée en application des règles sur les systèmes IA à haut risque (annexe III)*, obligations de transparence, lancement de l'enforcement national et UE. Sandboxes réglementaires opérationnelles. (*report au 2 décembre 2027 en cours via le Digital Omnibus).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décembre 2026 — Obligation de marquage des contenus générés/manipulés par IA (format lisible par machine) ; entrée en vigueur des interdictions « nudification » et CSAM.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décembre 2027 — Nouvelle cible (Digital Omnibus) pour les obligations des systèmes haut risque de l'annexe III (report de 16 mois).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août 2027 — Systèmes haut risque intégrés à des produits réglementés (dispositifs médicaux, etc.) ; report possible au 2 août 2028.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Actualité officielle UE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Commission européenne — Shaping Europe's digital future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Renfort enforcement : </w:t>
      </w:r>
      <w:hyperlink w:history="1" r:id="rIdwn6knziujt5isxyf10yf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L'AI Act enforcement bénéficie d'un appui d'experts indépendants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(01/06/2026)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Consultation haut risque : </w:t>
      </w:r>
      <w:hyperlink w:history="1" r:id="rId5xhpe2p6dowrm6nqin4y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Projet de lignes directrices sur la classification des systèmes à haut risque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(19/05/2026)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Consultation transparence : </w:t>
      </w:r>
      <w:hyperlink w:history="1" r:id="rId4pbeuu5cuamthazffnxm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Projet de lignes directrices sur les obligations de transparence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(08/05/2026)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Conseil de l'Union européenne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Digital Omnibus : </w:t>
      </w:r>
      <w:hyperlink w:history="1" r:id="rId6peoswtcdubg8u4mgnbu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Le Conseil et le Parlement conviennent de simplifier et rationaliser les règles de l'IA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(07/05/2026)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 Act Service Desk (officiel) — calendrier d'implémentation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Timeline : </w:t>
      </w:r>
      <w:hyperlink w:history="1" r:id="rIdnn1ktv5wnz03buyhuidl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Timeline for the Implementation of the EU AI Act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(à jour)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📰 Analyses &amp; gouvernance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EU Artificial Intelligence Act (Future of Life Institute)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Transparence article 50 : </w:t>
      </w:r>
      <w:hyperlink w:history="1" r:id="rIdcp-6xcwwd2ufq-4323_i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The EU AI Act's Transparency Rules: A Practical Guide to Article 50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(14/05/2026)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Calendrier : </w:t>
      </w:r>
      <w:hyperlink w:history="1" r:id="rIdgtde_q1zeopb44biiej7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Implementation Timeline — dates clés mises à jour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(à jour)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IAPP — AI Governance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Souveraineté IA UE : </w:t>
      </w:r>
      <w:hyperlink w:history="1" r:id="rIdklrwxjyysj-kufijfovn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 AI sovereignty top of mind during AIGG EU opening keynote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(03/06/2026)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Souveraineté numérique : </w:t>
      </w:r>
      <w:hyperlink w:history="1" r:id="rId1lsnmvmy7s7kleoclenm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Notes from IAPP Europe: EU's digital sovereignty efforts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(04/06/2026)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🇫🇷 Perspective française (CNIL / RGPD)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IA &amp; vie privée : </w:t>
      </w:r>
      <w:hyperlink w:history="1" r:id="rIdxwixgur-0n0ambhpgptg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générative et vie privée : affiche coproduite PIPC / CNIL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(27/05/2026)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IA &amp; santé mentale : </w:t>
      </w:r>
      <w:hyperlink w:history="1" r:id="rId8sbrc1_vsjlwvd6momfq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conversationnelle et santé mentale des jeunes : résultats de l'enquête européenne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(05/05/2026)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Audit RGPD des modèles : </w:t>
      </w:r>
      <w:hyperlink w:history="1" r:id="rId7rex_3yag8akcmxug29o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Projet PANAME : outil d'audit RGPD des modèles d'IA (CNIL, ANSSI, PEReN, Inria)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(26/02/2026)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 (foyer d'hébergement)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Transparence vis-à-vis des personnes accompagnées : tout outil d'IA en contact avec un usager (chatbot d'information, assistance) devra signaler clairement qu'il s'agit d'une IA (art. 50, applicable août 2026). À anticiper dans les procédures.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Dossier usager informatisé (DUI Imago) &amp; outils d'aide à la décision : vérifier si des fonctionnalités d'IA relèvent du « haut risque » (évaluation des personnes). Report probable au 2/12/2027 = fenêtre pour cartographier les usages.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RGPD toujours applicable en parallèle : le projet PANAME de la CNIL annonce un futur outil d'audit — utile pour vérifier la conformité des éventuels modèles d'IA utilisés.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Littératie IA des équipes (art. 4, applicable depuis le 2/02/2025) : obligation de former le personnel à un usage éclairé de l'IA. À intégrer au plan de formation et à la démarche qualité / évaluation HAS.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Contenus générés par IA : si l'établissement produit des supports (communication, formation) via IA générative, anticiper le marquage des contenus (2/12/2026).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Commission européenne — digital-strategy.ec.europa.eu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Conseil de l'UE — consilium.europa.eu (communiqués de presse)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AI Act Service Desk — ai-act-service-desk.ec.europa.eu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EU AI Act (FLI) — artificialintelligenceact.eu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Implementation Timeline — artificialintelligenceact.eu/implementation-timeline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IAPP — iapp.org/news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CNIL — cnil.fr/fr/intelligence-artificielle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666666"/>
          <w:sz w:val="22"/>
          <w:szCs w:val="22"/>
        </w:rPr>
        <w:t xml:space="preserve">Note : euractiv.com (section IA) était inaccessible lors de la sélection initiale — non retenue. Fallback Chrome MCP disponible si une source bloque.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demain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Adoption formelle du Digital Omnibus (attendue juin 2026, publication juillet) — confirmera officiellement les reports de calendrier.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Publication des guidelines « transparence » (T2 2026) et clôture des consultations Commission (haut risque / transparence).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Désignation des autorités nationales compétentes et mise en place des sandboxes réglementaires avant le 2 août 2026.</w:t>
      </w:r>
    </w:p>
    <w:p>
      <w:pPr>
        <w:spacing w:after="60"/>
      </w:pPr>
      <w:r>
        <w:t xml:space="preserve"/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Compte-rendu généré le 08/06/2026 • Veille quotidienne AI Act • Sources officielles UE + CNIL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n6knziujt5isxyf10yfc" Type="http://schemas.openxmlformats.org/officeDocument/2006/relationships/hyperlink" Target="https://digital-strategy.ec.europa.eu/en/policies/regulatory-framework-ai" TargetMode="External"/><Relationship Id="rId5xhpe2p6dowrm6nqin4y8" Type="http://schemas.openxmlformats.org/officeDocument/2006/relationships/hyperlink" Target="https://digital-strategy.ec.europa.eu/en/policies/regulatory-framework-ai" TargetMode="External"/><Relationship Id="rId4pbeuu5cuamthazffnxmt" Type="http://schemas.openxmlformats.org/officeDocument/2006/relationships/hyperlink" Target="https://digital-strategy.ec.europa.eu/en/policies/regulatory-framework-ai" TargetMode="External"/><Relationship Id="rId6peoswtcdubg8u4mgnbus" Type="http://schemas.openxmlformats.org/officeDocument/2006/relationships/hyperlink" Target="https://www.consilium.europa.eu/en/press/press-releases/2026/05/07/artificial-intelligence-council-and-parliament-agree-to-simplify-and-streamline-rules/" TargetMode="External"/><Relationship Id="rIdnn1ktv5wnz03buyhuidlx" Type="http://schemas.openxmlformats.org/officeDocument/2006/relationships/hyperlink" Target="https://ai-act-service-desk.ec.europa.eu/en/ai-act/timeline/timeline-implementation-eu-ai-act" TargetMode="External"/><Relationship Id="rIdcp-6xcwwd2ufq-4323_ih" Type="http://schemas.openxmlformats.org/officeDocument/2006/relationships/hyperlink" Target="https://artificialintelligenceact.eu/" TargetMode="External"/><Relationship Id="rIdgtde_q1zeopb44biiej7d" Type="http://schemas.openxmlformats.org/officeDocument/2006/relationships/hyperlink" Target="https://artificialintelligenceact.eu/implementation-timeline/" TargetMode="External"/><Relationship Id="rIdklrwxjyysj-kufijfovnz" Type="http://schemas.openxmlformats.org/officeDocument/2006/relationships/hyperlink" Target="https://iapp.org/news/" TargetMode="External"/><Relationship Id="rId1lsnmvmy7s7kleoclenmg" Type="http://schemas.openxmlformats.org/officeDocument/2006/relationships/hyperlink" Target="https://iapp.org/news/" TargetMode="External"/><Relationship Id="rIdxwixgur-0n0ambhpgptgm" Type="http://schemas.openxmlformats.org/officeDocument/2006/relationships/hyperlink" Target="https://www.cnil.fr/fr/intelligence-artificielle" TargetMode="External"/><Relationship Id="rId8sbrc1_vsjlwvd6momfqj" Type="http://schemas.openxmlformats.org/officeDocument/2006/relationships/hyperlink" Target="https://www.cnil.fr/fr/intelligence-artificielle" TargetMode="External"/><Relationship Id="rId7rex_3yag8akcmxug29oz" Type="http://schemas.openxmlformats.org/officeDocument/2006/relationships/hyperlink" Target="https://www.cnil.fr/fr/intelligence-artificielle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2026-06-08T13:54:48.919Z</dcterms:created>
  <dcterms:modified xsi:type="dcterms:W3CDTF">2026-06-08T13:54:48.919Z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