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color w:val="1B3A6B"/>
          <w:sz w:val="56"/>
          <w:szCs w:val="56"/>
        </w:rPr>
        <w:t xml:space="preserve">Veille AI Act — Compte-rendu quotidien</w:t>
      </w:r>
    </w:p>
    <w:p>
      <w:pPr>
        <w:spacing w:after="300" w:before="0"/>
        <w:jc w:val="center"/>
      </w:pPr>
      <w:r>
        <w:rPr>
          <w:rFonts w:ascii="Calibri" w:cs="Calibri" w:eastAsia="Calibri" w:hAnsi="Calibri"/>
          <w:i/>
          <w:iCs/>
          <w:color w:val="1B3A6B"/>
          <w:sz w:val="28"/>
          <w:szCs w:val="28"/>
        </w:rPr>
        <w:t xml:space="preserve">Date : 2026-06-09  ·  Sources accessibles : 6/7</w:t>
      </w:r>
    </w:p>
    <w:p>
      <w:pPr>
        <w:spacing w:after="300" w:before="100"/>
        <w:jc w:val="center"/>
      </w:pPr>
      <w:r>
        <w:rPr>
          <w:rFonts w:ascii="Calibri" w:cs="Calibri" w:eastAsia="Calibri" w:hAnsi="Calibri"/>
          <w:b/>
          <w:bCs/>
          <w:color w:val="D97706"/>
          <w:sz w:val="28"/>
          <w:szCs w:val="28"/>
        </w:rPr>
        <w:t xml:space="preserve">🟡 NIVEAU D'ALERTE : À SURVEILLER — Échéance critique 2 août 2026 (7 semaines) + Évaluation AI Office en cours</w:t>
      </w:r>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En bref — Faits marquants du jour</w:t>
      </w:r>
    </w:p>
    <w:p>
      <w:pPr>
        <w:pStyle w:val="ListParagraph"/>
        <w:numPr>
          <w:ilvl w:val="0"/>
          <w:numId w:val="1"/>
        </w:numPr>
        <w:spacing w:after="60" w:before="60"/>
      </w:pPr>
      <w:r>
        <w:rPr>
          <w:rFonts w:ascii="Calibri" w:cs="Calibri" w:eastAsia="Calibri" w:hAnsi="Calibri"/>
          <w:b/>
          <w:bCs/>
          <w:color w:val="1F2937"/>
          <w:sz w:val="22"/>
          <w:szCs w:val="22"/>
        </w:rPr>
        <w:t xml:space="preserve">(1/5) La Commission européenne renforce l'application de l'AI Act avec des experts indépendants (1 juin 2026).</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(2/5) IAPP AI Governance Global Europe 2026 à Dublin : débat sur le 'shock event' réglementaire IA — quels risques pourraient accélérer la régulation ? (4 juin 2026).</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(3/5) Évaluation biannuelle de l'AI Office en cours (juin 2026) : la Commission évalue si l'AI Office dispose de pouvoirs suffisants. Possible renforcement des compétences.</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(4/5) Code de pratique Article 50 (transparence contenus IA générés) : version finale attendue juin 2026, avant la deadline du 2 août 2026.</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(5/5) AI Omnibus (accord provisoire 7 mai 2026) : ajustement du calendrier systèmes haut risque (jusqu'à +16 mois si normes non disponibles), nouvelle interdiction deepfakes non consentis.</w:t>
      </w:r>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Échéances réglementaires à venir</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 2 février 2025 — PASSÉ : Dispositions générales + interdictions (pratiques IA interdites)</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 2 août 2025 — PASSÉ : Modèles IA à usage général (GPAI) ; désignation autorités nationales ; structures de gouvernance</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 2 août 2026 [dans 7 semaines] — Majorité des dispositions : systèmes IA à haut risque (Annexe III), règles de transparence (Art. 50), sandboxes réglementaires. CRITIQUE pour les ESSMS.</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 2 décembre 2026 — Marquage machine-readable des contenus IA générés (Art. 50(2)) — délai accordé par AI Omnibus aux systèmes déjà sur le marché</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 2 août 2027 — Systèmes IA haut risque intégrés dans produits réglementés (Annexe II) + sandboxes nationales (si AI Omnibus confirmé)</w:t>
      </w:r>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Actualité officielle UE — Commission européenne</w:t>
      </w:r>
    </w:p>
    <w:p>
      <w:pPr>
        <w:spacing w:after="60" w:before="60"/>
      </w:pPr>
      <w:r>
        <w:rPr>
          <w:rFonts w:ascii="Calibri" w:cs="Calibri" w:eastAsia="Calibri" w:hAnsi="Calibri"/>
          <w:b w:val="false"/>
          <w:bCs w:val="false"/>
          <w:i/>
          <w:iCs/>
          <w:color w:val="6B7280"/>
          <w:sz w:val="22"/>
          <w:szCs w:val="22"/>
        </w:rPr>
        <w:t xml:space="preserve">Source : digital-strategy.ec.europa.eu ✅</w:t>
      </w:r>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1. AI Act enforcement gets independent expert support</w:t>
      </w:r>
    </w:p>
    <w:p>
      <w:pPr>
        <w:spacing w:after="60" w:before="60"/>
      </w:pPr>
      <w:r>
        <w:rPr>
          <w:rFonts w:ascii="Calibri" w:cs="Calibri" w:eastAsia="Calibri" w:hAnsi="Calibri"/>
          <w:b w:val="false"/>
          <w:bCs w:val="false"/>
          <w:i w:val="false"/>
          <w:iCs w:val="false"/>
          <w:color w:val="1F2937"/>
          <w:sz w:val="22"/>
          <w:szCs w:val="22"/>
        </w:rPr>
        <w:t xml:space="preserve">Date : 1er juin 2026 — La Commission européenne s'appuie désormais sur un réseau d'experts indépendants pour renforcer l'application de l'AI Act auprès des autorités nationales, améliorer la conformité et soutenir les PME.</w:t>
      </w:r>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2. Draft guidelines — Classification systèmes IA à haut risque</w:t>
      </w:r>
    </w:p>
    <w:p>
      <w:pPr>
        <w:spacing w:after="60" w:before="60"/>
      </w:pPr>
      <w:r>
        <w:rPr>
          <w:rFonts w:ascii="Calibri" w:cs="Calibri" w:eastAsia="Calibri" w:hAnsi="Calibri"/>
          <w:b w:val="false"/>
          <w:bCs w:val="false"/>
          <w:i w:val="false"/>
          <w:iCs w:val="false"/>
          <w:color w:val="1F2937"/>
          <w:sz w:val="22"/>
          <w:szCs w:val="22"/>
        </w:rPr>
        <w:t xml:space="preserve">Date : 19 mai 2026 — Consultation publique ouverte sur les lignes directrices de classification des systèmes IA à haut risque (Art. 6 et Annexe III). Les parties prenantes peuvent soumettre des commentaires.</w:t>
      </w:r>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3. Draft guidelines — Obligations de transparence (Art. 50)</w:t>
      </w:r>
    </w:p>
    <w:p>
      <w:pPr>
        <w:spacing w:after="60" w:before="60"/>
      </w:pPr>
      <w:r>
        <w:rPr>
          <w:rFonts w:ascii="Calibri" w:cs="Calibri" w:eastAsia="Calibri" w:hAnsi="Calibri"/>
          <w:b w:val="false"/>
          <w:bCs w:val="false"/>
          <w:i w:val="false"/>
          <w:iCs w:val="false"/>
          <w:color w:val="1F2937"/>
          <w:sz w:val="22"/>
          <w:szCs w:val="22"/>
        </w:rPr>
        <w:t xml:space="preserve">Date : 8 mai 2026 — La Commission ouvre la consultation sur les directives de transparence : quand et comment informer les utilisateurs qu'ils interagissent avec une IA ou un contenu généré par IA.</w:t>
      </w:r>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Actualité officielle UE — Conseil de l'Union européenne</w:t>
      </w:r>
    </w:p>
    <w:p>
      <w:pPr>
        <w:spacing w:after="60" w:before="60"/>
      </w:pPr>
      <w:r>
        <w:rPr>
          <w:rFonts w:ascii="Calibri" w:cs="Calibri" w:eastAsia="Calibri" w:hAnsi="Calibri"/>
          <w:b w:val="false"/>
          <w:bCs w:val="false"/>
          <w:i/>
          <w:iCs/>
          <w:color w:val="6B7280"/>
          <w:sz w:val="22"/>
          <w:szCs w:val="22"/>
        </w:rPr>
        <w:t xml:space="preserve">Source : consilium.europa.eu — accès WebFetch 403 ⛔ / récupéré via WebSearch ✅</w:t>
      </w:r>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4. AI Omnibus — Accord provisoire Conseil/Parlement (7 mai 2026)</w:t>
      </w:r>
    </w:p>
    <w:p>
      <w:pPr>
        <w:spacing w:after="60" w:before="60"/>
      </w:pPr>
      <w:r>
        <w:rPr>
          <w:rFonts w:ascii="Calibri" w:cs="Calibri" w:eastAsia="Calibri" w:hAnsi="Calibri"/>
          <w:color w:val="1F2937"/>
          <w:sz w:val="22"/>
          <w:szCs w:val="22"/>
        </w:rPr>
        <w:t xml:space="preserve">Accord provisoire sur la simplification de l'AI Act. Points clés : </w:t>
      </w:r>
      <w:hyperlink w:history="1" r:id="rIdlowarobrewjiheijtdae-">
        <w:r>
          <w:rPr>
            <w:rFonts w:ascii="Calibri" w:cs="Calibri" w:eastAsia="Calibri" w:hAnsi="Calibri"/>
            <w:color w:val="1155CC"/>
            <w:sz w:val="22"/>
            <w:szCs w:val="22"/>
            <w:u w:val="single"/>
          </w:rPr>
          <w:t xml:space="preserve">Communiqué officiel</w:t>
        </w:r>
      </w:hyperlink>
    </w:p>
    <w:p>
      <w:pPr>
        <w:pStyle w:val="ListParagraph"/>
        <w:numPr>
          <w:ilvl w:val="0"/>
          <w:numId w:val="1"/>
        </w:numPr>
        <w:spacing w:after="60" w:before="60"/>
      </w:pPr>
      <w:r>
        <w:rPr>
          <w:rFonts w:ascii="Calibri" w:cs="Calibri" w:eastAsia="Calibri" w:hAnsi="Calibri"/>
          <w:b w:val="false"/>
          <w:bCs w:val="false"/>
          <w:color w:val="1F2937"/>
          <w:sz w:val="22"/>
          <w:szCs w:val="22"/>
        </w:rPr>
        <w:t xml:space="preserve">Systèmes haut risque : ajustement du calendrier jusqu'à +16 mois (si normes harmonisées non disponibles)</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Marquage contenus IA : délai réduit de 6 mois à 3 mois → nouvelle date : 2 décembre 2026</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Sandboxes nationales : report de la deadline de mise en place à 2 août 2027</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Nouvelle interdiction : génération de contenus sexuels et intimes non consentis par IA</w:t>
      </w:r>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Analyses &amp; Gouvernance — FLI / IAPP</w:t>
      </w:r>
    </w:p>
    <w:p>
      <w:pPr>
        <w:spacing w:after="60" w:before="60"/>
      </w:pPr>
      <w:r>
        <w:rPr>
          <w:rFonts w:ascii="Calibri" w:cs="Calibri" w:eastAsia="Calibri" w:hAnsi="Calibri"/>
          <w:b w:val="false"/>
          <w:bCs w:val="false"/>
          <w:i/>
          <w:iCs/>
          <w:color w:val="6B7280"/>
          <w:sz w:val="22"/>
          <w:szCs w:val="22"/>
        </w:rPr>
        <w:t xml:space="preserve">Sources : artificialintelligenceact.eu ⛔/WebSearch ✅ · iapp.org ✅</w:t>
      </w:r>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5. Évaluation biannuelle de l'AI Office — juin 2026</w:t>
      </w:r>
    </w:p>
    <w:p>
      <w:pPr>
        <w:spacing w:after="60" w:before="60"/>
      </w:pPr>
      <w:r>
        <w:rPr>
          <w:rFonts w:ascii="Calibri" w:cs="Calibri" w:eastAsia="Calibri" w:hAnsi="Calibri"/>
          <w:b w:val="false"/>
          <w:bCs w:val="false"/>
          <w:i w:val="false"/>
          <w:iCs w:val="false"/>
          <w:color w:val="1F2937"/>
          <w:sz w:val="22"/>
          <w:szCs w:val="22"/>
        </w:rPr>
        <w:t xml:space="preserve">Deux ans après l'entrée en vigueur de l'AI Act, la Commission évalue en juin 2026 si l'AI Office dispose de pouvoirs et de ressources suffisants pour remplir ses missions. Des arbitrages sur la gouvernance IA européenne sont attendus.</w:t>
      </w:r>
    </w:p>
    <w:p>
      <w:pPr>
        <w:spacing w:after="60" w:before="60"/>
      </w:pPr>
      <w:r>
        <w:rPr>
          <w:rFonts w:ascii="Calibri" w:cs="Calibri" w:eastAsia="Calibri" w:hAnsi="Calibri"/>
          <w:color w:val="1F2937"/>
          <w:sz w:val="22"/>
          <w:szCs w:val="22"/>
        </w:rPr>
        <w:t xml:space="preserve">En savoir plus : </w:t>
      </w:r>
      <w:hyperlink w:history="1" r:id="rIdvspjjrqlsqbathwngaz-r">
        <w:r>
          <w:rPr>
            <w:rFonts w:ascii="Calibri" w:cs="Calibri" w:eastAsia="Calibri" w:hAnsi="Calibri"/>
            <w:color w:val="1155CC"/>
            <w:sz w:val="22"/>
            <w:szCs w:val="22"/>
            <w:u w:val="single"/>
          </w:rPr>
          <w:t xml:space="preserve">AI Office — Responsabilités de la Commission</w:t>
        </w:r>
      </w:hyperlink>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6. Code de pratique Article 50 — Deuxième projet (mars 2026)</w:t>
      </w:r>
    </w:p>
    <w:p>
      <w:pPr>
        <w:spacing w:after="60" w:before="60"/>
      </w:pPr>
      <w:r>
        <w:rPr>
          <w:rFonts w:ascii="Calibri" w:cs="Calibri" w:eastAsia="Calibri" w:hAnsi="Calibri"/>
          <w:b w:val="false"/>
          <w:bCs w:val="false"/>
          <w:i w:val="false"/>
          <w:iCs w:val="false"/>
          <w:color w:val="1F2937"/>
          <w:sz w:val="22"/>
          <w:szCs w:val="22"/>
        </w:rPr>
        <w:t xml:space="preserve">Un second projet du Code de pratique sur la transparence des contenus IA générés (Art. 50) a été publié en mars 2026. La version finale est attendue en juin 2026. Ce code couvre l'obligation de marquage (watermarking machine-readable) pour textes, images, audio, vidéo générés par IA.</w:t>
      </w:r>
    </w:p>
    <w:p>
      <w:pPr>
        <w:spacing w:after="60" w:before="60"/>
      </w:pPr>
      <w:r>
        <w:rPr>
          <w:rFonts w:ascii="Calibri" w:cs="Calibri" w:eastAsia="Calibri" w:hAnsi="Calibri"/>
          <w:color w:val="1F2937"/>
          <w:sz w:val="22"/>
          <w:szCs w:val="22"/>
        </w:rPr>
        <w:t xml:space="preserve">Référence : </w:t>
      </w:r>
      <w:hyperlink w:history="1" r:id="rIdhanu5nxcxcooz6b09idhb">
        <w:r>
          <w:rPr>
            <w:rFonts w:ascii="Calibri" w:cs="Calibri" w:eastAsia="Calibri" w:hAnsi="Calibri"/>
            <w:color w:val="1155CC"/>
            <w:sz w:val="22"/>
            <w:szCs w:val="22"/>
            <w:u w:val="single"/>
          </w:rPr>
          <w:t xml:space="preserve">Transparency Rules — AI Act Article 50</w:t>
        </w:r>
      </w:hyperlink>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7. IAPP AI Governance Global Europe 2026 — Dublin (4 juin 2026)</w:t>
      </w:r>
    </w:p>
    <w:p>
      <w:pPr>
        <w:spacing w:after="60" w:before="60"/>
      </w:pPr>
      <w:r>
        <w:rPr>
          <w:rFonts w:ascii="Calibri" w:cs="Calibri" w:eastAsia="Calibri" w:hAnsi="Calibri"/>
          <w:b w:val="false"/>
          <w:bCs w:val="false"/>
          <w:i w:val="false"/>
          <w:iCs w:val="false"/>
          <w:color w:val="1F2937"/>
          <w:sz w:val="22"/>
          <w:szCs w:val="22"/>
        </w:rPr>
        <w:t xml:space="preserve">Conférence européenne de l'IAPP à Dublin : la question centrale était « Quel 'shock event' contraindra les gouvernements à agir ? ». Les experts ont identifié les vecteurs de risque : cybersécurité, protection des mineurs, infrastructures critiques. La menace d'un incident majeur planant sur la mise en œuvre de l'AI Act.</w:t>
      </w:r>
    </w:p>
    <w:p>
      <w:pPr>
        <w:spacing w:after="60" w:before="60"/>
      </w:pPr>
      <w:r>
        <w:rPr>
          <w:rFonts w:ascii="Calibri" w:cs="Calibri" w:eastAsia="Calibri" w:hAnsi="Calibri"/>
          <w:color w:val="1F2937"/>
          <w:sz w:val="22"/>
          <w:szCs w:val="22"/>
        </w:rPr>
        <w:t xml:space="preserve">Article IAPP : </w:t>
      </w:r>
      <w:hyperlink w:history="1" r:id="rIdtrmvvborbrilrwzxr7pii">
        <w:r>
          <w:rPr>
            <w:rFonts w:ascii="Calibri" w:cs="Calibri" w:eastAsia="Calibri" w:hAnsi="Calibri"/>
            <w:color w:val="1155CC"/>
            <w:sz w:val="22"/>
            <w:szCs w:val="22"/>
            <w:u w:val="single"/>
          </w:rPr>
          <w:t xml:space="preserve">AI risks are here — what's the 'shock event'?</w:t>
        </w:r>
      </w:hyperlink>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Perspective française — CNIL / RGPD</w:t>
      </w:r>
    </w:p>
    <w:p>
      <w:pPr>
        <w:spacing w:after="60" w:before="60"/>
      </w:pPr>
      <w:r>
        <w:rPr>
          <w:rFonts w:ascii="Calibri" w:cs="Calibri" w:eastAsia="Calibri" w:hAnsi="Calibri"/>
          <w:b w:val="false"/>
          <w:bCs w:val="false"/>
          <w:i/>
          <w:iCs/>
          <w:color w:val="6B7280"/>
          <w:sz w:val="22"/>
          <w:szCs w:val="22"/>
        </w:rPr>
        <w:t xml:space="preserve">Source : cnil.fr ✅</w:t>
      </w:r>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8. IA générative et vie privée — Affiche PIPC/CNIL (27 mai 2026)</w:t>
      </w:r>
    </w:p>
    <w:p>
      <w:pPr>
        <w:spacing w:after="60" w:before="60"/>
      </w:pPr>
      <w:r>
        <w:rPr>
          <w:rFonts w:ascii="Calibri" w:cs="Calibri" w:eastAsia="Calibri" w:hAnsi="Calibri"/>
          <w:color w:val="1F2937"/>
          <w:sz w:val="22"/>
          <w:szCs w:val="22"/>
        </w:rPr>
        <w:t xml:space="preserve">Outil pédagogique coproduit par la CNIL et l'autorité coréenne PIPC : comment protéger ses données personnelles lors de l'usage d'une IA générative. Diffusable aux équipes. </w:t>
      </w:r>
      <w:hyperlink w:history="1" r:id="rIdssnmbvommtxm7gumrrbek">
        <w:r>
          <w:rPr>
            <w:rFonts w:ascii="Calibri" w:cs="Calibri" w:eastAsia="Calibri" w:hAnsi="Calibri"/>
            <w:color w:val="1155CC"/>
            <w:sz w:val="22"/>
            <w:szCs w:val="22"/>
            <w:u w:val="single"/>
          </w:rPr>
          <w:t xml:space="preserve">Consulter l'affiche</w:t>
        </w:r>
      </w:hyperlink>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9. IA conversationnelle et santé mentale des jeunes (5 mai 2026)</w:t>
      </w:r>
    </w:p>
    <w:p>
      <w:pPr>
        <w:spacing w:after="60" w:before="60"/>
      </w:pPr>
      <w:r>
        <w:rPr>
          <w:rFonts w:ascii="Calibri" w:cs="Calibri" w:eastAsia="Calibri" w:hAnsi="Calibri"/>
          <w:color w:val="1F2937"/>
          <w:sz w:val="22"/>
          <w:szCs w:val="22"/>
        </w:rPr>
        <w:t xml:space="preserve">Enquête européenne : près de 9 jeunes sur 10 en France utilisent une IA conversationnelle, et certains abordent des sujets sensibles (santé mentale, autolyse). Résultats à intégrer dans la réflexion sur l'usage d'IA avec des publics vulnérables. </w:t>
      </w:r>
      <w:hyperlink w:history="1" r:id="rIdcrg5juflyxgtjwtozpaxj">
        <w:r>
          <w:rPr>
            <w:rFonts w:ascii="Calibri" w:cs="Calibri" w:eastAsia="Calibri" w:hAnsi="Calibri"/>
            <w:color w:val="1155CC"/>
            <w:sz w:val="22"/>
            <w:szCs w:val="22"/>
            <w:u w:val="single"/>
          </w:rPr>
          <w:t xml:space="preserve">Résultats de l'enquête</w:t>
        </w:r>
      </w:hyperlink>
    </w:p>
    <w:p>
      <w:pPr>
        <w:spacing w:after="100" w:before="100"/>
      </w:pPr>
      <w:r>
        <w:t xml:space="preserve"/>
      </w:r>
    </w:p>
    <w:p>
      <w:pPr>
        <w:spacing w:after="60" w:before="60"/>
      </w:pPr>
      <w:r>
        <w:rPr>
          <w:rFonts w:ascii="Calibri" w:cs="Calibri" w:eastAsia="Calibri" w:hAnsi="Calibri"/>
          <w:b/>
          <w:bCs/>
          <w:i w:val="false"/>
          <w:iCs w:val="false"/>
          <w:color w:val="1F2937"/>
          <w:sz w:val="22"/>
          <w:szCs w:val="22"/>
        </w:rPr>
        <w:t xml:space="preserve">10. Projet PANAME — Outil d'audit RGPD des modèles IA (CNIL/ANSSI/Inria)</w:t>
      </w:r>
    </w:p>
    <w:p>
      <w:pPr>
        <w:spacing w:after="60" w:before="60"/>
      </w:pPr>
      <w:r>
        <w:rPr>
          <w:rFonts w:ascii="Calibri" w:cs="Calibri" w:eastAsia="Calibri" w:hAnsi="Calibri"/>
          <w:color w:val="1F2937"/>
          <w:sz w:val="22"/>
          <w:szCs w:val="22"/>
        </w:rPr>
        <w:t xml:space="preserve">La CNIL développe avec l'ANSSI et Inria un outil d'audit RGPD des modèles d'IA. Les ESSMS utilisant des systèmes IA (DUI, aide à la décision) seront concernés par ce type de vérification. </w:t>
      </w:r>
      <w:hyperlink w:history="1" r:id="rIds6hbkqcz4pgcptbii8jag">
        <w:r>
          <w:rPr>
            <w:rFonts w:ascii="Calibri" w:cs="Calibri" w:eastAsia="Calibri" w:hAnsi="Calibri"/>
            <w:color w:val="1155CC"/>
            <w:sz w:val="22"/>
            <w:szCs w:val="22"/>
            <w:u w:val="single"/>
          </w:rPr>
          <w:t xml:space="preserve">Participer aux tests PANAME</w:t>
        </w:r>
      </w:hyperlink>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Impacts pour les ESSMS — Points de vigilance</w:t>
      </w:r>
    </w:p>
    <w:p>
      <w:pPr>
        <w:pStyle w:val="ListParagraph"/>
        <w:numPr>
          <w:ilvl w:val="0"/>
          <w:numId w:val="1"/>
        </w:numPr>
        <w:spacing w:after="60" w:before="60"/>
      </w:pPr>
      <w:r>
        <w:rPr>
          <w:rFonts w:ascii="Calibri" w:cs="Calibri" w:eastAsia="Calibri" w:hAnsi="Calibri"/>
          <w:b/>
          <w:bCs/>
          <w:color w:val="1F2937"/>
          <w:sz w:val="22"/>
          <w:szCs w:val="22"/>
        </w:rPr>
        <w:t xml:space="preserve">SYSTÈMES IA À HAUT RISQUE : les outils d'aide à la décision (ex. orientation, évaluation de risque, profiling) utilisés dans les ESSMS pourraient relever de l'Annexe III (Art. 8 — secteur migration/asile et éducation — à vérifier selon usage). Deadline 2 août 2026.</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TRANSPARENCE VIS-À-VIS DES PERSONNES ACCOMPAGNÉES : l'Art. 50 impose d'informer les utilisateurs lorsqu'ils interagissent avec une IA. Dans un contexte d'accompagnement de personnes en situation de handicap mental, la mise en œuvre concrète de cette obligation mérite un travail de formalisation (protocoles, affichage, information DUI).</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DEEPFAKES ET CONTENUS NON CONSENTIS : la nouvelle interdiction de l'AI Omnibus (contenus intimes générés sans consentement) s'applique directement à la protection des résidents — à mentionner dans la politique RGPD et les procédures de signalement.</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DOSSIER USAGER INFORMATISÉ (ex. Imago) : si un éditeur intègre une IA dans le DUI, il devra se conformer à l'AI Act (documentation, tests, transparence). Interroger l'éditeur sur sa roadmap de conformité.</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IA CONVERSATIONNELLE ET PUBLICS VULNÉRABLES : l'étude CNIL sur les jeunes et la santé mentale est directement transposable aux adultes accompagnés. Prudence avec les outils IA conversationnels (chatbots d'information, assistants).</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FORMATION DES ÉQUIPES : l'Art. 4 impose une littératie IA pour les utilisateurs de systèmes IA. En vigueur depuis février 2025. Les ESSMS utilisant des outils IA doivent intégrer cela dans leur plan de formation.</w:t>
      </w:r>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Sources du jour</w:t>
      </w:r>
    </w:p>
    <w:p>
      <w:pPr>
        <w:pStyle w:val="ListParagraph"/>
        <w:numPr>
          <w:ilvl w:val="0"/>
          <w:numId w:val="1"/>
        </w:numPr>
        <w:spacing w:after="60" w:before="60"/>
      </w:pPr>
      <w:hyperlink w:history="1" r:id="rIdz_tmhle3voyx7zjixo8py">
        <w:r>
          <w:rPr>
            <w:rFonts w:ascii="Calibri" w:cs="Calibri" w:eastAsia="Calibri" w:hAnsi="Calibri"/>
            <w:color w:val="1155CC"/>
            <w:sz w:val="22"/>
            <w:szCs w:val="22"/>
            <w:u w:val="single"/>
          </w:rPr>
          <w:t xml:space="preserve">✅ Commission UE — Cadre réglementaire IA (digital-strategy.ec.europa.eu)</w:t>
        </w:r>
      </w:hyperlink>
    </w:p>
    <w:p>
      <w:pPr>
        <w:pStyle w:val="ListParagraph"/>
        <w:numPr>
          <w:ilvl w:val="0"/>
          <w:numId w:val="1"/>
        </w:numPr>
        <w:spacing w:after="60" w:before="60"/>
      </w:pPr>
      <w:hyperlink w:history="1" r:id="rIdbvkbs_piyudzqqnxrqizu">
        <w:r>
          <w:rPr>
            <w:rFonts w:ascii="Calibri" w:cs="Calibri" w:eastAsia="Calibri" w:hAnsi="Calibri"/>
            <w:color w:val="1155CC"/>
            <w:sz w:val="22"/>
            <w:szCs w:val="22"/>
            <w:u w:val="single"/>
          </w:rPr>
          <w:t xml:space="preserve">✅ Service Desk AI Act — Calendrier officiel</w:t>
        </w:r>
      </w:hyperlink>
    </w:p>
    <w:p>
      <w:pPr>
        <w:pStyle w:val="ListParagraph"/>
        <w:numPr>
          <w:ilvl w:val="0"/>
          <w:numId w:val="1"/>
        </w:numPr>
        <w:spacing w:after="60" w:before="60"/>
      </w:pPr>
      <w:r>
        <w:rPr>
          <w:rFonts w:ascii="Calibri" w:cs="Calibri" w:eastAsia="Calibri" w:hAnsi="Calibri"/>
          <w:color w:val="1F2937"/>
          <w:sz w:val="22"/>
          <w:szCs w:val="22"/>
        </w:rPr>
        <w:t xml:space="preserve">⛔/✅ </w:t>
      </w:r>
      <w:hyperlink w:history="1" r:id="rIdewgmhalqukpflg7ynpygl">
        <w:r>
          <w:rPr>
            <w:rFonts w:ascii="Calibri" w:cs="Calibri" w:eastAsia="Calibri" w:hAnsi="Calibri"/>
            <w:color w:val="1155CC"/>
            <w:sz w:val="22"/>
            <w:szCs w:val="22"/>
            <w:u w:val="single"/>
          </w:rPr>
          <w:t xml:space="preserve">Conseil UE — communiqués de presse (403 WebFetch / WebSearch OK)</w:t>
        </w:r>
      </w:hyperlink>
    </w:p>
    <w:p>
      <w:pPr>
        <w:pStyle w:val="ListParagraph"/>
        <w:numPr>
          <w:ilvl w:val="0"/>
          <w:numId w:val="1"/>
        </w:numPr>
        <w:spacing w:after="60" w:before="60"/>
      </w:pPr>
      <w:r>
        <w:rPr>
          <w:rFonts w:ascii="Calibri" w:cs="Calibri" w:eastAsia="Calibri" w:hAnsi="Calibri"/>
          <w:color w:val="1F2937"/>
          <w:sz w:val="22"/>
          <w:szCs w:val="22"/>
        </w:rPr>
        <w:t xml:space="preserve">⛔/✅ </w:t>
      </w:r>
      <w:hyperlink w:history="1" r:id="rIdxmowukig5q-u3gdkdgvhi">
        <w:r>
          <w:rPr>
            <w:rFonts w:ascii="Calibri" w:cs="Calibri" w:eastAsia="Calibri" w:hAnsi="Calibri"/>
            <w:color w:val="1155CC"/>
            <w:sz w:val="22"/>
            <w:szCs w:val="22"/>
            <w:u w:val="single"/>
          </w:rPr>
          <w:t xml:space="preserve">Future of Life Institute — AI Act analyses (JS dynamique / WebSearch OK)</w:t>
        </w:r>
      </w:hyperlink>
    </w:p>
    <w:p>
      <w:pPr>
        <w:pStyle w:val="ListParagraph"/>
        <w:numPr>
          <w:ilvl w:val="0"/>
          <w:numId w:val="1"/>
        </w:numPr>
        <w:spacing w:after="60" w:before="60"/>
      </w:pPr>
      <w:r>
        <w:rPr>
          <w:rFonts w:ascii="Calibri" w:cs="Calibri" w:eastAsia="Calibri" w:hAnsi="Calibri"/>
          <w:color w:val="1F2937"/>
          <w:sz w:val="22"/>
          <w:szCs w:val="22"/>
        </w:rPr>
        <w:t xml:space="preserve">⛔ </w:t>
      </w:r>
      <w:hyperlink w:history="1" r:id="rId-jywvtck2dvr5tgp24chv">
        <w:r>
          <w:rPr>
            <w:rFonts w:ascii="Calibri" w:cs="Calibri" w:eastAsia="Calibri" w:hAnsi="Calibri"/>
            <w:color w:val="1155CC"/>
            <w:sz w:val="22"/>
            <w:szCs w:val="22"/>
            <w:u w:val="single"/>
          </w:rPr>
          <w:t xml:space="preserve">Implementation Timeline — artificialintelligenceact.eu (même domaine, JS dynamique)</w:t>
        </w:r>
      </w:hyperlink>
    </w:p>
    <w:p>
      <w:pPr>
        <w:pStyle w:val="ListParagraph"/>
        <w:numPr>
          <w:ilvl w:val="0"/>
          <w:numId w:val="1"/>
        </w:numPr>
        <w:spacing w:after="60" w:before="60"/>
      </w:pPr>
      <w:hyperlink w:history="1" r:id="rId84_1dvrutw0qxjjl1-ppl">
        <w:r>
          <w:rPr>
            <w:rFonts w:ascii="Calibri" w:cs="Calibri" w:eastAsia="Calibri" w:hAnsi="Calibri"/>
            <w:color w:val="1155CC"/>
            <w:sz w:val="22"/>
            <w:szCs w:val="22"/>
            <w:u w:val="single"/>
          </w:rPr>
          <w:t xml:space="preserve">✅ IAPP — AI Governance news</w:t>
        </w:r>
      </w:hyperlink>
    </w:p>
    <w:p>
      <w:pPr>
        <w:pStyle w:val="ListParagraph"/>
        <w:numPr>
          <w:ilvl w:val="0"/>
          <w:numId w:val="1"/>
        </w:numPr>
        <w:spacing w:after="60" w:before="60"/>
      </w:pPr>
      <w:hyperlink w:history="1" r:id="rIdpcxzfk2oe878bbqbtc95g">
        <w:r>
          <w:rPr>
            <w:rFonts w:ascii="Calibri" w:cs="Calibri" w:eastAsia="Calibri" w:hAnsi="Calibri"/>
            <w:color w:val="1155CC"/>
            <w:sz w:val="22"/>
            <w:szCs w:val="22"/>
            <w:u w:val="single"/>
          </w:rPr>
          <w:t xml:space="preserve">✅ CNIL — Intelligence artificielle</w:t>
        </w:r>
      </w:hyperlink>
    </w:p>
    <w:p>
      <w:pPr>
        <w:spacing w:after="100" w:before="100"/>
      </w:pPr>
      <w:r>
        <w:t xml:space="preserve"/>
      </w:r>
    </w:p>
    <w:p>
      <w:pPr>
        <w:pBdr>
          <w:bottom w:val="single" w:color="1B3A6B" w:sz="4" w:space="4"/>
        </w:pBdr>
        <w:spacing w:after="150" w:before="400"/>
      </w:pPr>
      <w:r>
        <w:rPr>
          <w:rFonts w:ascii="Calibri" w:cs="Calibri" w:eastAsia="Calibri" w:hAnsi="Calibri"/>
          <w:b/>
          <w:bCs/>
          <w:color w:val="1B3A6B"/>
          <w:sz w:val="28"/>
          <w:szCs w:val="28"/>
        </w:rPr>
        <w:t xml:space="preserve">🔜 À surveiller demain</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Publication de la version finale du Code de pratique Article 50 (attendue juin 2026) — vérifier sur artificialintelligenceact.eu</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Retombées de l'IAPP AI Governance Global Europe 2026 (Dublin, 4 juin) — positions des régulateurs européens</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Résultats de la consultation sur les guidelines classification systèmes haut risque (deadline à confirmer)</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Décision du Conseil UE sur l'AI Omnibus (adoption formelle de l'accord provisoire 7 mai) — suivre consilium.europa.eu</w:t>
      </w:r>
    </w:p>
    <w:p>
      <w:pPr>
        <w:pStyle w:val="ListParagraph"/>
        <w:numPr>
          <w:ilvl w:val="0"/>
          <w:numId w:val="1"/>
        </w:numPr>
        <w:spacing w:after="60" w:before="60"/>
      </w:pPr>
      <w:r>
        <w:rPr>
          <w:rFonts w:ascii="Calibri" w:cs="Calibri" w:eastAsia="Calibri" w:hAnsi="Calibri"/>
          <w:b w:val="false"/>
          <w:bCs w:val="false"/>
          <w:color w:val="1F2937"/>
          <w:sz w:val="22"/>
          <w:szCs w:val="22"/>
        </w:rPr>
        <w:t xml:space="preserve">T-7 semaines avant le 2 août 2026 : vérifier la roadmap de conformité des éditeurs de DUI (Imago, etc.)</w:t>
      </w:r>
    </w:p>
    <w:p>
      <w:pPr>
        <w:spacing w:after="100" w:before="100"/>
      </w:pPr>
      <w:r>
        <w:t xml:space="preserve"/>
      </w:r>
    </w:p>
    <w:p>
      <w:pPr>
        <w:spacing w:after="60" w:before="400"/>
        <w:jc w:val="center"/>
      </w:pPr>
      <w:r>
        <w:rPr>
          <w:rFonts w:ascii="Calibri" w:cs="Calibri" w:eastAsia="Calibri" w:hAnsi="Calibri"/>
          <w:i/>
          <w:iCs/>
          <w:color w:val="6B7280"/>
          <w:sz w:val="18"/>
          <w:szCs w:val="18"/>
        </w:rPr>
        <w:t xml:space="preserve">Veille AI Act — Produit le 2026-06-09 · Sources accessibles : 6/7 · Niveau d'alerte : 🟡 À surveiller</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owarobrewjiheijtdae-" Type="http://schemas.openxmlformats.org/officeDocument/2006/relationships/hyperlink" Target="https://www.consilium.europa.eu/en/press/press-releases/2026/05/07/artificial-intelligence-council-and-parliament-agree-to-simplify-and-streamline-rules/" TargetMode="External"/><Relationship Id="rIdvspjjrqlsqbathwngaz-r" Type="http://schemas.openxmlformats.org/officeDocument/2006/relationships/hyperlink" Target="https://artificialintelligenceact.eu/responsibilities-of-european-commission-ai-office/" TargetMode="External"/><Relationship Id="rIdhanu5nxcxcooz6b09idhb" Type="http://schemas.openxmlformats.org/officeDocument/2006/relationships/hyperlink" Target="https://artificialintelligenceact.eu/transparency-rules-article-50/" TargetMode="External"/><Relationship Id="rIdtrmvvborbrilrwzxr7pii" Type="http://schemas.openxmlformats.org/officeDocument/2006/relationships/hyperlink" Target="https://iapp.org/news/a/ai-risks-are-here-what-s-the-shock-event-that-governments-won-t-be-able-to-ignore" TargetMode="External"/><Relationship Id="rIdssnmbvommtxm7gumrrbek" Type="http://schemas.openxmlformats.org/officeDocument/2006/relationships/hyperlink" Target="https://www.cnil.fr/fr/ia-generative-et-vie-privee-affiche-coproduite-pipc-cnil" TargetMode="External"/><Relationship Id="rIdcrg5juflyxgtjwtozpaxj" Type="http://schemas.openxmlformats.org/officeDocument/2006/relationships/hyperlink" Target="https://www.cnil.fr/fr/ia-conversationnelle-et-sante-mentale-des-jeunes-resultats-de-lenquete-europeenne" TargetMode="External"/><Relationship Id="rIds6hbkqcz4pgcptbii8jag" Type="http://schemas.openxmlformats.org/officeDocument/2006/relationships/hyperlink" Target="https://www.cnil.fr/fr/projet-paname-participez-aux-tests-dun-outil-daudit-rgpd-des-modeles-dia" TargetMode="External"/><Relationship Id="rIdz_tmhle3voyx7zjixo8py" Type="http://schemas.openxmlformats.org/officeDocument/2006/relationships/hyperlink" Target="https://digital-strategy.ec.europa.eu/en/policies/regulatory-framework-ai" TargetMode="External"/><Relationship Id="rIdbvkbs_piyudzqqnxrqizu" Type="http://schemas.openxmlformats.org/officeDocument/2006/relationships/hyperlink" Target="https://ai-act-service-desk.ec.europa.eu/en/ai-act/timeline/timeline-implementation-eu-ai-act" TargetMode="External"/><Relationship Id="rIdewgmhalqukpflg7ynpygl" Type="http://schemas.openxmlformats.org/officeDocument/2006/relationships/hyperlink" Target="https://www.consilium.europa.eu/en/press/press-releases/" TargetMode="External"/><Relationship Id="rIdxmowukig5q-u3gdkdgvhi" Type="http://schemas.openxmlformats.org/officeDocument/2006/relationships/hyperlink" Target="https://artificialintelligenceact.eu/" TargetMode="External"/><Relationship Id="rId-jywvtck2dvr5tgp24chv" Type="http://schemas.openxmlformats.org/officeDocument/2006/relationships/hyperlink" Target="https://artificialintelligenceact.eu/implementation-timeline/" TargetMode="External"/><Relationship Id="rId84_1dvrutw0qxjjl1-ppl" Type="http://schemas.openxmlformats.org/officeDocument/2006/relationships/hyperlink" Target="https://iapp.org/news/" TargetMode="External"/><Relationship Id="rIdpcxzfk2oe878bbqbtc95g" Type="http://schemas.openxmlformats.org/officeDocument/2006/relationships/hyperlink" Target="https://www.cnil.fr/fr/intelligence-artificielle"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2026-06-09T05:07:06.829Z</dcterms:created>
  <dcterms:modified xsi:type="dcterms:W3CDTF">2026-06-09T05:07:06.831Z</dcterms:modified>
</cp:coreProperties>
</file>

<file path=docProps/custom.xml><?xml version="1.0" encoding="utf-8"?>
<Properties xmlns="http://schemas.openxmlformats.org/officeDocument/2006/custom-properties" xmlns:vt="http://schemas.openxmlformats.org/officeDocument/2006/docPropsVTypes"/>
</file>