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3A6B"/>
          <w:sz w:val="56"/>
          <w:szCs w:val="56"/>
        </w:rPr>
        <w:t xml:space="preserve">Veille AI Act — Compte-rendu quotidien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Date : 2026-06-10  ·  Sources accessibles : 5/7</w:t>
      </w:r>
    </w:p>
    <w:p>
      <w:pPr>
        <w:spacing w:after="200"/>
        <w:jc w:val="center"/>
      </w:pPr>
      <w:r>
        <w:rPr>
          <w:b/>
          <w:bCs/>
          <w:color w:val="1A7340"/>
          <w:sz w:val="26"/>
          <w:szCs w:val="26"/>
        </w:rPr>
        <w:t xml:space="preserve">🟢 NIVEAU D'ALERTE : AUCUNE NOUVEAUTÉ CRITIQUE</w:t>
      </w:r>
    </w:p>
    <w:p>
      <w:pPr>
        <w:spacing w:after="80" w:before="240"/>
      </w:pPr>
      <w:r>
        <w:rPr>
          <w:b/>
          <w:bCs/>
          <w:color w:val="1B3A6B"/>
          <w:sz w:val="28"/>
          <w:szCs w:val="28"/>
        </w:rPr>
        <w:t xml:space="preserve">🟢 Statut du jour</w:t>
      </w:r>
    </w:p>
    <w:p>
      <w:pPr>
        <w:spacing w:after="60"/>
      </w:pPr>
      <w:r>
        <w:rPr>
          <w:b w:val="false"/>
          <w:bCs w:val="false"/>
          <w:color w:val="1F2937"/>
          <w:sz w:val="22"/>
          <w:szCs w:val="22"/>
        </w:rPr>
        <w:t xml:space="preserve">Aucune nouveauté significative depuis le CR du 2026-06-09.</w:t>
      </w:r>
    </w:p>
    <w:p>
      <w:pPr>
        <w:spacing w:after="60"/>
      </w:pPr>
      <w:r>
        <w:rPr>
          <w:b w:val="false"/>
          <w:bCs w:val="false"/>
          <w:color w:val="6B7280"/>
          <w:sz w:val="22"/>
          <w:szCs w:val="22"/>
        </w:rPr>
        <w:t xml:space="preserve">Les sources consultées ne contiennent pas d'actualité datée des dernières 24 à 72 heures qui n'ait déjà été couverte dans le compte-rendu précédent. Une information nouvelle de moindre priorité est signalée en note ci-dessous.</w:t>
      </w:r>
    </w:p>
    <w:p>
      <w:r>
        <w:t xml:space="preserve"/>
      </w:r>
    </w:p>
    <w:p>
      <w:pPr>
        <w:spacing w:after="80" w:before="240"/>
      </w:pPr>
      <w:r>
        <w:rPr>
          <w:b/>
          <w:bCs/>
          <w:color w:val="1B3A6B"/>
          <w:sz w:val="28"/>
          <w:szCs w:val="28"/>
        </w:rPr>
        <w:t xml:space="preserve">📌 Note — Information manquée dans le CR du 2026-06-09</w:t>
      </w: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Commission européenne — Tech sovereignty package (03 juin 2026) : </w:t>
      </w:r>
      <w:r>
        <w:rPr>
          <w:color w:val="1F2937"/>
          <w:sz w:val="22"/>
          <w:szCs w:val="22"/>
        </w:rPr>
        <w:t xml:space="preserve">La Commission a proposé un paquet "souveraineté technologique" visant à renforcer l'autonomie numérique et la résilience de l'UE. Ce paquet inclut des mesures complémentaires à l'AI Act pour les infrastructures numériques critiques. </w:t>
      </w:r>
      <w:hyperlink w:history="1" r:id="rId-ouc1aclatpmniyqpnzhc">
        <w:r>
          <w:rPr>
            <w:color w:val="1155CC"/>
            <w:sz w:val="22"/>
            <w:szCs w:val="22"/>
            <w:u w:val="single"/>
          </w:rPr>
          <w:t xml:space="preserve">Voir la communication →</w:t>
        </w:r>
      </w:hyperlink>
    </w:p>
    <w:p>
      <w:pPr>
        <w:spacing w:after="60"/>
      </w:pPr>
      <w:r>
        <w:rPr>
          <w:b w:val="false"/>
          <w:bCs w:val="false"/>
          <w:color w:val="6B7280"/>
          <w:sz w:val="22"/>
          <w:szCs w:val="22"/>
        </w:rPr>
        <w:t xml:space="preserve">Pertinence ESSMS : faible à court terme (concerne les infrastructures nationales). À surveiller pour les impacts futurs sur les éditeurs de logiciels médico-sociaux.</w:t>
      </w:r>
    </w:p>
    <w:p>
      <w:r>
        <w:t xml:space="preserve"/>
      </w:r>
    </w:p>
    <w:p>
      <w:pPr>
        <w:spacing w:after="80" w:before="240"/>
      </w:pPr>
      <w:r>
        <w:rPr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60"/>
      </w:pPr>
      <w:r>
        <w:rPr>
          <w:color w:val="6B7280"/>
          <w:sz w:val="22"/>
          <w:szCs w:val="22"/>
        </w:rPr>
        <w:t xml:space="preserve">✅  2 février 2025  —  PASSÉ — Dispositions générales + interdictions (pratiques IA interdites)</w:t>
      </w:r>
    </w:p>
    <w:p>
      <w:pPr>
        <w:spacing w:after="60"/>
      </w:pPr>
      <w:r>
        <w:rPr>
          <w:color w:val="6B7280"/>
          <w:sz w:val="22"/>
          <w:szCs w:val="22"/>
        </w:rPr>
        <w:t xml:space="preserve">✅  2 août 2025  —  PASSÉ — Modèles IA à usage général (GPAI) ; désignation autorités nationales ; gouvernance UE</w:t>
      </w:r>
    </w:p>
    <w:p>
      <w:pPr>
        <w:spacing w:after="60"/>
      </w:pPr>
      <w:r>
        <w:rPr>
          <w:color w:val="1B3A6B"/>
          <w:sz w:val="22"/>
          <w:szCs w:val="22"/>
        </w:rPr>
        <w:t xml:space="preserve">⚠️  2 août 2026  [dans 52 jours]  —  CRITIQUE — Systèmes IA à haut risque (Annexe III), transparence (Art. 50), sandboxes réglementaires. ÉCHÉANCE MAJEURE pour les ESSMS.</w:t>
      </w:r>
    </w:p>
    <w:p>
      <w:pPr>
        <w:spacing w:after="60"/>
      </w:pPr>
      <w:r>
        <w:rPr>
          <w:color w:val="1F2937"/>
          <w:sz w:val="22"/>
          <w:szCs w:val="22"/>
        </w:rPr>
        <w:t xml:space="preserve">📌  2 décembre 2026  —  Marquage machine-readable contenus IA générés (Art. 50(2)) — délai accordé par AI Omnibus aux systèmes déjà sur le marché</w:t>
      </w:r>
    </w:p>
    <w:p>
      <w:pPr>
        <w:spacing w:after="60"/>
      </w:pPr>
      <w:r>
        <w:rPr>
          <w:color w:val="1F2937"/>
          <w:sz w:val="22"/>
          <w:szCs w:val="22"/>
        </w:rPr>
        <w:t xml:space="preserve">📌  2 août 2027  —  Systèmes IA haut risque intégrés dans produits réglementés (Annexe II) + sandboxes nationales (si AI Omnibus confirmé)</w:t>
      </w:r>
    </w:p>
    <w:p>
      <w:r>
        <w:t xml:space="preserve"/>
      </w:r>
    </w:p>
    <w:p>
      <w:pPr>
        <w:spacing w:after="80" w:before="240"/>
      </w:pPr>
      <w:r>
        <w:rPr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Publication de la version finale du Code de pratique Article 50 (transparence contenus IA générés) — attendue juin 2026. Vérifier sur artificialintelligenceact.eu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Retombées de l'IAPP AI Governance Global Europe 2026 (Dublin, 4 juin) — positions des régulateurs européens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Résultats de la consultation sur les guidelines classification systèmes haut risque (deadline à confirmer)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Adoption formelle de l'AI Omnibus par le Conseil UE (accord provisoire 7 mai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T-52 jours avant le 2 août 2026 : vérifier la roadmap de conformité des éditeurs de DUI (Imago, etc.)</w:t>
      </w:r>
    </w:p>
    <w:p>
      <w:r>
        <w:t xml:space="preserve"/>
      </w:r>
    </w:p>
    <w:p>
      <w:pPr>
        <w:spacing w:after="80" w:before="240"/>
      </w:pPr>
      <w:r>
        <w:rPr>
          <w:b/>
          <w:bCs/>
          <w:color w:val="1B3A6B"/>
          <w:sz w:val="28"/>
          <w:szCs w:val="28"/>
        </w:rPr>
        <w:t xml:space="preserve">📚 Sources consultées</w:t>
      </w:r>
    </w:p>
    <w:p>
      <w:pPr>
        <w:spacing w:after="60"/>
      </w:pPr>
      <w:r>
        <w:rPr>
          <w:color w:val="1A7340"/>
          <w:sz w:val="22"/>
          <w:szCs w:val="22"/>
        </w:rPr>
        <w:t xml:space="preserve">✅ </w:t>
      </w:r>
      <w:hyperlink w:history="1" r:id="rIdb-lsijud97wc47cf4csmp">
        <w:r>
          <w:rPr>
            <w:color w:val="1155CC"/>
            <w:sz w:val="22"/>
            <w:szCs w:val="22"/>
            <w:u w:val="single"/>
          </w:rPr>
          <w:t xml:space="preserve">Commission UE — Cadre réglementaire IA</w:t>
        </w:r>
      </w:hyperlink>
    </w:p>
    <w:p>
      <w:pPr>
        <w:spacing w:after="60"/>
      </w:pPr>
      <w:r>
        <w:rPr>
          <w:color w:val="1A7340"/>
          <w:sz w:val="22"/>
          <w:szCs w:val="22"/>
        </w:rPr>
        <w:t xml:space="preserve">✅ </w:t>
      </w:r>
      <w:hyperlink w:history="1" r:id="rIdrs3ihbvmzgirl-ez51x_u">
        <w:r>
          <w:rPr>
            <w:color w:val="1155CC"/>
            <w:sz w:val="22"/>
            <w:szCs w:val="22"/>
            <w:u w:val="single"/>
          </w:rPr>
          <w:t xml:space="preserve">Service Desk AI Act — Calendrier officiel</w:t>
        </w:r>
      </w:hyperlink>
    </w:p>
    <w:p>
      <w:pPr>
        <w:spacing w:after="60"/>
      </w:pPr>
      <w:r>
        <w:rPr>
          <w:color w:val="1F2937"/>
          <w:sz w:val="22"/>
          <w:szCs w:val="22"/>
        </w:rPr>
        <w:t xml:space="preserve">⛔/✅ </w:t>
      </w:r>
      <w:hyperlink w:history="1" r:id="rIdltnio-gl6dmj2ybdqez8v">
        <w:r>
          <w:rPr>
            <w:color w:val="1155CC"/>
            <w:sz w:val="22"/>
            <w:szCs w:val="22"/>
            <w:u w:val="single"/>
          </w:rPr>
          <w:t xml:space="preserve">Conseil UE — communiqués (403 WebFetch / WebSearch OK)</w:t>
        </w:r>
      </w:hyperlink>
    </w:p>
    <w:p>
      <w:pPr>
        <w:spacing w:after="60"/>
      </w:pPr>
      <w:r>
        <w:rPr>
          <w:color w:val="CC0000"/>
          <w:sz w:val="22"/>
          <w:szCs w:val="22"/>
        </w:rPr>
        <w:t xml:space="preserve">⛔ </w:t>
      </w:r>
      <w:hyperlink w:history="1" r:id="rIdnqd_brwolp6ceqygail-n">
        <w:r>
          <w:rPr>
            <w:color w:val="1155CC"/>
            <w:sz w:val="22"/>
            <w:szCs w:val="22"/>
            <w:u w:val="single"/>
          </w:rPr>
          <w:t xml:space="preserve">Future of Life Institute — AI Act analyses (JS dynamique)</w:t>
        </w:r>
      </w:hyperlink>
    </w:p>
    <w:p>
      <w:pPr>
        <w:spacing w:after="60"/>
      </w:pPr>
      <w:r>
        <w:rPr>
          <w:color w:val="CC0000"/>
          <w:sz w:val="22"/>
          <w:szCs w:val="22"/>
        </w:rPr>
        <w:t xml:space="preserve">⛔ </w:t>
      </w:r>
      <w:hyperlink w:history="1" r:id="rId-wtgxeeekp6bcfsblwzhr">
        <w:r>
          <w:rPr>
            <w:color w:val="1155CC"/>
            <w:sz w:val="22"/>
            <w:szCs w:val="22"/>
            <w:u w:val="single"/>
          </w:rPr>
          <w:t xml:space="preserve">Implementation Timeline — artificialintelligenceact.eu (JS dynamique)</w:t>
        </w:r>
      </w:hyperlink>
    </w:p>
    <w:p>
      <w:pPr>
        <w:spacing w:after="60"/>
      </w:pPr>
      <w:r>
        <w:rPr>
          <w:color w:val="1A7340"/>
          <w:sz w:val="22"/>
          <w:szCs w:val="22"/>
        </w:rPr>
        <w:t xml:space="preserve">✅ </w:t>
      </w:r>
      <w:hyperlink w:history="1" r:id="rIdc1qi_hnviol4uzvtjoj-g">
        <w:r>
          <w:rPr>
            <w:color w:val="1155CC"/>
            <w:sz w:val="22"/>
            <w:szCs w:val="22"/>
            <w:u w:val="single"/>
          </w:rPr>
          <w:t xml:space="preserve">IAPP — AI Governance news</w:t>
        </w:r>
      </w:hyperlink>
    </w:p>
    <w:p>
      <w:pPr>
        <w:spacing w:after="60"/>
      </w:pPr>
      <w:r>
        <w:rPr>
          <w:color w:val="1A7340"/>
          <w:sz w:val="22"/>
          <w:szCs w:val="22"/>
        </w:rPr>
        <w:t xml:space="preserve">✅ </w:t>
      </w:r>
      <w:hyperlink w:history="1" r:id="rIdvhju0ynlsuii4rmzad3s_">
        <w:r>
          <w:rPr>
            <w:color w:val="1155CC"/>
            <w:sz w:val="22"/>
            <w:szCs w:val="22"/>
            <w:u w:val="single"/>
          </w:rPr>
          <w:t xml:space="preserve">CNIL — Intelligence artificielle</w:t>
        </w:r>
      </w:hyperlink>
    </w:p>
    <w:p>
      <w:r>
        <w:t xml:space="preserve"/>
      </w:r>
    </w:p>
    <w:p>
      <w:pPr>
        <w:spacing w:before="200"/>
        <w:jc w:val="center"/>
      </w:pPr>
      <w:r>
        <w:rPr>
          <w:i/>
          <w:iCs/>
          <w:color w:val="6B7280"/>
          <w:sz w:val="20"/>
          <w:szCs w:val="20"/>
        </w:rPr>
        <w:t xml:space="preserve">Veille AI Act — Produit le 2026-06-10  ·  Sources accessibles : 5/7  ·  Niveau d'alerte : 🟢 Aucune nouveauté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ouc1aclatpmniyqpnzhc" Type="http://schemas.openxmlformats.org/officeDocument/2006/relationships/hyperlink" Target="https://digital-strategy.ec.europa.eu/en/news/commission-proposes-tech-sovereignty-package-strengthen-europes-digital-autonomy-and-resilience" TargetMode="External"/><Relationship Id="rIdb-lsijud97wc47cf4csmp" Type="http://schemas.openxmlformats.org/officeDocument/2006/relationships/hyperlink" Target="https://digital-strategy.ec.europa.eu/en/policies/regulatory-framework-ai" TargetMode="External"/><Relationship Id="rIdrs3ihbvmzgirl-ez51x_u" Type="http://schemas.openxmlformats.org/officeDocument/2006/relationships/hyperlink" Target="https://ai-act-service-desk.ec.europa.eu/en/ai-act/timeline/timeline-implementation-eu-ai-act" TargetMode="External"/><Relationship Id="rIdltnio-gl6dmj2ybdqez8v" Type="http://schemas.openxmlformats.org/officeDocument/2006/relationships/hyperlink" Target="https://www.consilium.europa.eu/en/press/press-releases/" TargetMode="External"/><Relationship Id="rIdnqd_brwolp6ceqygail-n" Type="http://schemas.openxmlformats.org/officeDocument/2006/relationships/hyperlink" Target="https://artificialintelligenceact.eu/" TargetMode="External"/><Relationship Id="rId-wtgxeeekp6bcfsblwzhr" Type="http://schemas.openxmlformats.org/officeDocument/2006/relationships/hyperlink" Target="https://artificialintelligenceact.eu/implementation-timeline/" TargetMode="External"/><Relationship Id="rIdc1qi_hnviol4uzvtjoj-g" Type="http://schemas.openxmlformats.org/officeDocument/2006/relationships/hyperlink" Target="https://iapp.org/news/" TargetMode="External"/><Relationship Id="rIdvhju0ynlsuii4rmzad3s_" Type="http://schemas.openxmlformats.org/officeDocument/2006/relationships/hyperlink" Target="https://www.cnil.fr/fr/intelligence-artificiell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2026-06-10T05:06:32.642Z</dcterms:created>
  <dcterms:modified xsi:type="dcterms:W3CDTF">2026-06-10T05:06:32.644Z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