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AI Act — Compte-rendu quotidien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F2937"/>
          <w:sz w:val="28"/>
          <w:szCs w:val="28"/>
        </w:rPr>
        <w:t xml:space="preserve">Date : 13 juin 2026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D97706"/>
          <w:sz w:val="30"/>
          <w:szCs w:val="30"/>
        </w:rPr>
        <w:t xml:space="preserve">🟡 Niveau d'alerte : À surveiller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F2937"/>
          <w:sz w:val="28"/>
          <w:szCs w:val="28"/>
        </w:rPr>
        <w:t xml:space="preserve">Sources directes : 3/7 | Fallback WebSearch : 4/7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 — Faits marquants du jour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AI Act enforcement gets independent expert support (1 juin 2026) — L'UE mobilise des experts indépendants pour renforcer l'application du règlement AI Act dans les États membres.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Notes AIGG Europe 2026 (10 juin) — La conférence de gouvernance IA révèle des défis concrets d'implémentation : normes techniques, conformité distribuée, rôle des DPO dans la chaîne 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CADA (Cloud and AI Development Act) : analyses critiques IAPP (11 juin) — Le projet législatif UE sur la souveraineté cloud/IA reçoit des évaluations mitigées : ambition forte, mais fondations fragiles selon les experts.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Code de pratique UE sur le marquage IA (10 juin 2026) — Outil volontaire de conformité Art. 50 publié ; date limite de signature : 22 juillet 2026.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Partenariat numérique UE-Brésil (12 juin 2026) — Cooperation internationale sur la régulation de l'IA.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📅 Échéances réglementaires à venir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22 juillet 2026 — Signature du Code de pratique sur le marquage des contenus IA générés (Art. 50 AI Act).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 août 2026 — Application de l'AI Act : IA générative (GPAI), obligations de transparence (Art. 50), sandboxes nationales à établir dans chaque État membre, systèmes haut risque Annexe III.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 décembre 2026 — Marquage machine-readable obligatoire pour les IA génératives déjà sur le marché ; nouvelles interdictions (nudification non consentie, CSAM).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 décembre 2027 — Conformité systèmes IA à haut risque stand-alone (report Omnibus VII — mai 2026).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 août 2028 — Règles pour l'IA intégrée dans des produits réglementés (ascenseurs, dispositifs médicaux, jouets, machines).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🏛️ Actualité officielle UE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Commission européenne — digital-strategy.ec.europa.eu ✅</w:t>
      </w:r>
    </w:p>
    <w:p>
      <w:pPr>
        <w:spacing w:after="40"/>
      </w:pPr>
      <w:hyperlink w:history="1" r:id="rIdy7c9u6umco2ltpp7op9xa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AI Act enforcement gets independent expert support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 juin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L'UE renforce ses mécanismes d'application en mobilisant des experts indépendants pour assister la mise en œuvre et le suivi de conformité AI Act. Signal fort : la Commission anticipe des difficultés d'application uniformes dans les 27 États membres.</w:t>
      </w:r>
    </w:p>
    <w:p>
      <w:pPr>
        <w:spacing w:after="40"/>
      </w:pPr>
      <w:hyperlink w:history="1" r:id="rIdgn8xzuvnpassplpe3ognm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Commission publishes Code of Practice on marking and labelling AI-generated content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10 juin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Outil de conformité volontaire pour guider les fournisseurs dans la divulgation des contenus générés par IA (deepfakes, médias synthétiques). Couvre les obligations de transparence Art. 50.</w:t>
      </w:r>
    </w:p>
    <w:p>
      <w:pPr>
        <w:spacing w:after="40"/>
      </w:pPr>
      <w:hyperlink w:history="1" r:id="rIdu_xg6im1x-eaxmuzwvbd4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EU and Brazil deepen ties through Digital Partnership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12 juin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Accord de partenariat numérique UE-Brésil, incluant la coopération sur la gouvernance de l'IA.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Conseil de l'UE — consilium.europa.eu ⛔ (403 → données via WebSearch)</w:t>
      </w:r>
    </w:p>
    <w:p>
      <w:pPr>
        <w:spacing w:after="40"/>
      </w:pPr>
      <w:hyperlink w:history="1" r:id="rIdiqe-imliergq3yahzt7th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Council and Parliament agree to simplify and streamline rules on AI (Omnibus VII)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7 mai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Accord provisoire Omnibus VII : report high-risk stand-alone au 2 déc. 2027, systèmes embarqués au 2 août 2028. Nouvelle interdiction : IA générant CSAM ou contenu intime non consenti.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📰 Analyses &amp; Gouvernance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IAPP — iapp.org ✅</w:t>
      </w:r>
    </w:p>
    <w:p>
      <w:pPr>
        <w:spacing w:after="40"/>
      </w:pPr>
      <w:hyperlink w:history="1" r:id="rIdfxgbizgkf4o6hba0o4ttp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Notes from the AI Governance Center: Key issues tackled at AIGG Europe 2026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10 juin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Retour sur AIGG Europe 2026 : défis d'implémentation AI Act, gouvernance de l'innovation distribuée, rôle critique des standards techniques (CEN/CENELEC) pour la conformité — point d'attention pour les déployeurs.</w:t>
      </w:r>
    </w:p>
    <w:p>
      <w:pPr>
        <w:spacing w:after="40"/>
      </w:pPr>
      <w:hyperlink w:history="1" r:id="rIdgk3r6m1qwm7h8sl4temxy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Europe's Cloud and AI Development Act: Grand ambition, fragile foundations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11 juin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Analyse critique du CADA : niveaux de souveraineté cloud proposés, risque que les exigences dépassent les capacités réelles du marché, impact sur les fournisseurs de solutions cloud utilisées dans les ESSMS.</w:t>
      </w:r>
    </w:p>
    <w:p>
      <w:pPr>
        <w:spacing w:after="40"/>
      </w:pPr>
      <w:hyperlink w:history="1" r:id="rId512ax54ulrexik2hb6pls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A view from Brussels: Why the CADA sovereignty proposal deserves attention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11 juin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Le CADA introduit des niveaux d'assurance impactant le screening fournisseurs, les transferts de données et l'entraînement des modèles IA — à surveiller pour les contrats cloud des structures médico-sociales.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Future of Life Institute — artificialintelligenceact.eu ⛔ (JS non rendu → WebSearch)</w:t>
      </w:r>
    </w:p>
    <w:p>
      <w:pPr>
        <w:spacing w:after="40"/>
      </w:pPr>
      <w:hyperlink w:history="1" r:id="rIdobvioydnrpf-crsnhzgc3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What providers and deployers must do by August 2026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14 mai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Synthèse des obligations concrètes à remplir avant l'échéance d'août 2026 pour fournisseurs et déployeurs de systèmes IA.</w:t>
      </w:r>
    </w:p>
    <w:p>
      <w:pPr>
        <w:spacing w:after="40"/>
      </w:pPr>
      <w:hyperlink w:history="1" r:id="rIdi8yv_qkucxytb6th-lmjk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The EU AI Act's Transparency Rules: A Practical Guide to Article 50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mars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Guide pratique sur les obligations de transparence (Art. 50), notamment pour les systèmes IA en contact avec des utilisateurs finaux (chatbots, assistants vocaux).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🇫🇷 Perspective française (CNIL/RGPD)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CNIL — cnil.fr/fr/intelligence-artificielle ✅</w:t>
      </w:r>
    </w:p>
    <w:p>
      <w:pPr>
        <w:spacing w:after="40"/>
      </w:pPr>
      <w:hyperlink w:history="1" r:id="rIde3grwjnmftlx6juwpqor0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« IA générative et vie privée » : affiche coproduite PIPC/CNIL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27 mai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Affiche pédagogique CNIL/PIPC (Corée du Sud) sur la protection des données personnelles lors de l'usage d'IA générative. Outil de sensibilisation réutilisable pour les équipes.</w:t>
      </w:r>
    </w:p>
    <w:p>
      <w:pPr>
        <w:spacing w:after="40"/>
      </w:pPr>
      <w:hyperlink w:history="1" r:id="rIdl6sll20dsjx6tkvecwpm1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IA conversationnelle et santé mentale des jeunes : résultats enquête européenne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5 mai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9 jeunes sur 10 utilisent une IA conversationnelle ; près d'1 sur 2 y aborde des sujets sensibles (santé mentale, sexualité). Résultats d'une étude menée dans 4 pays européens — enjeux de protection des données vulnérables.</w:t>
      </w:r>
    </w:p>
    <w:p>
      <w:pPr>
        <w:spacing w:after="40"/>
      </w:pPr>
      <w:hyperlink w:history="1" r:id="rIdj5zbbyyzhc1beu8uasr5i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Projet PANAME : tester un outil d'audit RGPD des modèles d'IA</w:t>
        </w:r>
      </w:hyperlink>
      <w:r>
        <w:rPr>
          <w:rFonts w:ascii="Calibri" w:cs="Calibri" w:eastAsia="Calibri" w:hAnsi="Calibri"/>
          <w:color w:val="444444"/>
          <w:sz w:val="22"/>
          <w:szCs w:val="22"/>
        </w:rPr>
        <w:t xml:space="preserve"> — 26 févr. 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Appel à testeurs pour PANAME, outil d'audit RGPD des modèles IA développé avec ANSSI, PEReN et Inria — pertinent pour les structures envisageant un audit de conformité IA.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Impacts pour les ESSMS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Échéance 2 août 2026 — CRITIQUE : les systèmes IA utilisés dans les foyers (aide à la décision, analyse comportementale, DUI, outils d'orientation) entrent dans le champ des systèmes à haut risque Annexe III s'ils concernent des personnes vulnérables. Inventaire et classification à réaliser d'urgence.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Transparence Art. 50 — Toute IA en contact direct avec les personnes accompagnées (chatbots, assistants, outils de communication augmentative) doit faire l'objet d'une information claire à l'usager. À intégrer dans les pratiques professionnelles et les contrats de séjour.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CADA / Cloud — Les fournisseurs de solutions numériques médico-sociales (DUI, logiciels de planification) hébergés sur cloud seront impactés par les niveaux d'assurance CADA. Anticiper lors des renouvellements de marché.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Formation des équipes — L'obligation de littératie IA (Art. 4 AI Act) est applicable depuis le 2 février 2025. Former les professionnels à identifier les systèmes IA présents dans leur pratique quotidienne.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Experts enforcement — La mobilisation d'experts indépendants par l'UE signale un renforcement progressif des contrôles. Les ESSMS utilisateurs de systèmes IA doivent disposer d'une documentation de conformité.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Enquête CNIL jeunes — Bien que centrée sur les mineurs, les résultats alertent sur les usages d'IA conversationnelle par des personnes vulnérables (personnes handicapées psychiques) : vigilance sur les données sensibles partagées.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s5-loc0n1niu94tky8rfa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1. digital-strategy.ec.europa.eu — Commission européenne IA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✅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0ghflhpgfnlatohvjud2n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2. ai-act-service-desk.ec.europa.eu — Timeline officielle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✅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5x6kffzmlszrh6pqtmbpj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3. consilium.europa.eu — Communiqués Conseil UE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⛔ (403 → WebSearch)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cqagcfqrhi2mfxp8mrf6b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4. artificialintelligenceact.eu — Future of Life Institute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⛔ (JS → WebSearch)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j8ov2lgbuvnbkysykyjmj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5. artificialintelligenceact.eu/implementation-timeline/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⛔ (JS → WebSearch)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tbtxzxtouft08dx3qqze2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6. iapp.org/news/ — IAPP Gouvernance IA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✅</w:t>
      </w:r>
    </w:p>
    <w:p>
      <w:pPr>
        <w:pStyle w:val="ListParagraph"/>
        <w:numPr>
          <w:ilvl w:val="0"/>
          <w:numId w:val="1"/>
        </w:numPr>
        <w:spacing w:after="60"/>
      </w:pPr>
      <w:hyperlink w:history="1" r:id="rId5_winqoj0px3n7j-p9p1h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7. cnil.fr/fr/intelligence-artificielle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✅</w:t>
      </w:r>
    </w:p>
    <w:p>
      <w:pPr>
        <w:pBdr>
          <w:bottom w:color="CCCCCC" w:sz="1" w:space="1"/>
        </w:pBdr>
        <w:spacing w:after="200" w:before="200"/>
      </w:pP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 demain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Adoption formelle de l'accord Omnibus VII par le Parlement européen (vote en plénière attendu).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Signature du Code de pratique sur le marquage AI — date limite 22 juillet 2026 (J-39).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Publication des normes techniques CEN/CENELEC pour les systèmes haut risque (référence pour la conformité août 2026).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Avancement du CADA : audition au Parlement européen sur les niveaux de souveraineté cloud.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Table ronde G7 des DPA à Paris (23-26 juin 2026) — conclusions attendues sur la gouvernance IA et les données.</w:t>
      </w:r>
    </w:p>
    <w:p>
      <w:pPr>
        <w:spacing w:before="400"/>
        <w:jc w:val="center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Produit le 13 juin 2026 — Job automatique ai-act-veille — Sources consultées : 3/7 directes + 4/7 WebSearch</w:t>
      </w:r>
    </w:p>
    <w:sectPr>
      <w:pgSz w:w="11906" w:h="16838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7c9u6umco2ltpp7op9xa" Type="http://schemas.openxmlformats.org/officeDocument/2006/relationships/hyperlink" Target="https://digital-strategy.ec.europa.eu/en/news/ai-act-enforcement-gets-independent-expert-support" TargetMode="External"/><Relationship Id="rIdgn8xzuvnpassplpe3ognm" Type="http://schemas.openxmlformats.org/officeDocument/2006/relationships/hyperlink" Target="https://digital-strategy.ec.europa.eu/en/news/commission-publishes-code-practice-marking-and-labelling-ai-generated-content" TargetMode="External"/><Relationship Id="rIdu_xg6im1x-eaxmuzwvbd4" Type="http://schemas.openxmlformats.org/officeDocument/2006/relationships/hyperlink" Target="https://digital-strategy.ec.europa.eu/en/news/eu-and-brazil-deepen-ties-through-digital-partnership" TargetMode="External"/><Relationship Id="rIdiqe-imliergq3yahzt7th" Type="http://schemas.openxmlformats.org/officeDocument/2006/relationships/hyperlink" Target="https://www.consilium.europa.eu/en/press/press-releases/2026/05/07/artificial-intelligence-council-and-parliament-agree-to-simplify-and-streamline-rules/" TargetMode="External"/><Relationship Id="rIdfxgbizgkf4o6hba0o4ttp" Type="http://schemas.openxmlformats.org/officeDocument/2006/relationships/hyperlink" Target="https://iapp.org/news/a/notes-from-the-ai-governance-center-the-key-ai-governance-issues-tackled-at-aigg-europe-2026" TargetMode="External"/><Relationship Id="rIdgk3r6m1qwm7h8sl4temxy" Type="http://schemas.openxmlformats.org/officeDocument/2006/relationships/hyperlink" Target="https://iapp.org/news/a/europes-cloud-and-ai-development-act-grand-ambition-fragile-foundations" TargetMode="External"/><Relationship Id="rId512ax54ulrexik2hb6pls" Type="http://schemas.openxmlformats.org/officeDocument/2006/relationships/hyperlink" Target="https://iapp.org/news/a/a-view-from-brussels-why-the-cada-sovereignty-proposal-deserves-attention" TargetMode="External"/><Relationship Id="rIdobvioydnrpf-crsnhzgc3" Type="http://schemas.openxmlformats.org/officeDocument/2006/relationships/hyperlink" Target="https://artificialintelligenceact.eu/ai-act-implementation-next-steps/" TargetMode="External"/><Relationship Id="rIdi8yv_qkucxytb6th-lmjk" Type="http://schemas.openxmlformats.org/officeDocument/2006/relationships/hyperlink" Target="https://artificialintelligenceact.eu/transparency-rules-article-50/" TargetMode="External"/><Relationship Id="rIde3grwjnmftlx6juwpqor0" Type="http://schemas.openxmlformats.org/officeDocument/2006/relationships/hyperlink" Target="https://www.cnil.fr/fr/ia-generative-et-vie-privee-affiche-coproduite-pipc-cnil" TargetMode="External"/><Relationship Id="rIdl6sll20dsjx6tkvecwpm1" Type="http://schemas.openxmlformats.org/officeDocument/2006/relationships/hyperlink" Target="https://www.cnil.fr/fr/ia-conversationnelle-et-sante-mentale-des-jeunes-resultats-de-lenquete-europeenne" TargetMode="External"/><Relationship Id="rIdj5zbbyyzhc1beu8uasr5i" Type="http://schemas.openxmlformats.org/officeDocument/2006/relationships/hyperlink" Target="https://www.cnil.fr/fr/projet-paname-participez-aux-tests-dun-outil-daudit-rgpd-des-modeles-dia" TargetMode="External"/><Relationship Id="rIds5-loc0n1niu94tky8rfa" Type="http://schemas.openxmlformats.org/officeDocument/2006/relationships/hyperlink" Target="https://digital-strategy.ec.europa.eu/en/policies/regulatory-framework-ai" TargetMode="External"/><Relationship Id="rId0ghflhpgfnlatohvjud2n" Type="http://schemas.openxmlformats.org/officeDocument/2006/relationships/hyperlink" Target="https://ai-act-service-desk.ec.europa.eu/en/ai-act/timeline/timeline-implementation-eu-ai-act" TargetMode="External"/><Relationship Id="rId5x6kffzmlszrh6pqtmbpj" Type="http://schemas.openxmlformats.org/officeDocument/2006/relationships/hyperlink" Target="https://www.consilium.europa.eu/en/press/press-releases/" TargetMode="External"/><Relationship Id="rIdcqagcfqrhi2mfxp8mrf6b" Type="http://schemas.openxmlformats.org/officeDocument/2006/relationships/hyperlink" Target="https://artificialintelligenceact.eu/" TargetMode="External"/><Relationship Id="rIdj8ov2lgbuvnbkysykyjmj" Type="http://schemas.openxmlformats.org/officeDocument/2006/relationships/hyperlink" Target="https://artificialintelligenceact.eu/implementation-timeline/" TargetMode="External"/><Relationship Id="rIdtbtxzxtouft08dx3qqze2" Type="http://schemas.openxmlformats.org/officeDocument/2006/relationships/hyperlink" Target="https://iapp.org/news/" TargetMode="External"/><Relationship Id="rId5_winqoj0px3n7j-p9p1h" Type="http://schemas.openxmlformats.org/officeDocument/2006/relationships/hyperlink" Target="https://www.cnil.fr/fr/intelligence-artificielle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2026-06-13T05:07:00.664Z</dcterms:created>
  <dcterms:modified xsi:type="dcterms:W3CDTF">2026-06-13T05:07:00.678Z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