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B3A6B"/>
          <w:sz w:val="56"/>
          <w:szCs w:val="56"/>
        </w:rPr>
        <w:t xml:space="preserve">Veille AI Act — Compte-rendu hebdomadaire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4A4A4A"/>
          <w:sz w:val="28"/>
          <w:szCs w:val="28"/>
        </w:rPr>
        <w:t xml:space="preserve">Dimanche 21 juin 2026</w:t>
      </w:r>
    </w:p>
    <w:p>
      <w:pPr>
        <w:spacing w:after="300"/>
        <w:jc w:val="center"/>
      </w:pPr>
      <w:r>
        <w:rPr>
          <w:rFonts w:ascii="Calibri" w:cs="Calibri" w:eastAsia="Calibri" w:hAnsi="Calibri"/>
          <w:b/>
          <w:bCs/>
          <w:color w:val="D97706"/>
          <w:sz w:val="32"/>
          <w:szCs w:val="32"/>
        </w:rPr>
        <w:t xml:space="preserve">🟡 Niveau d'alerte : À surveiller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Sources accessibles : 5/7</w:t>
      </w:r>
    </w:p>
    <w:p>
      <w:pPr>
        <w:spacing w:after="200" w:before="200"/>
      </w:pPr>
      <w:r>
        <w:rPr>
          <w:rFonts w:ascii="Calibri" w:cs="Calibri" w:eastAsia="Calibri" w:hAnsi="Calibri"/>
          <w:color w:val="D1D5DB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</w:t>
      </w:r>
    </w:p>
    <w:p>
      <w:pPr>
        <w:spacing w:after="16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🔵 En bref — Faits marquants de la semaine</w:t>
      </w:r>
    </w:p>
    <w:p>
      <w:pPr>
        <w:spacing w:after="10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Consortium EUROPA sélectionné par la Commission (19 juin) pour construire un modèle IA open-source multilingue couvrant les 24 langues officielles de l'UE.</w:t>
      </w:r>
    </w:p>
    <w:p>
      <w:pPr>
        <w:spacing w:after="10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Code de conduite sur le marquage des contenus IA générés publié (10 juin) — les fournisseurs ont jusqu'au 2 décembre 2026 pour se conformer (Article 50).</w:t>
      </w:r>
    </w:p>
    <w:p>
      <w:pPr>
        <w:spacing w:after="10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Lignes directrices conjointes RGPD/AI Act imminentes (IAPP, 18 juin) — elles couvriront transparence, évaluation des risques, détection des biais et responsabilité.</w:t>
      </w:r>
    </w:p>
    <w:p>
      <w:pPr>
        <w:spacing w:after="10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AI Omnibus (accord mai 2026) : délais haut risque repoussés à déc. 2027 (autonomes) / août 2028 (embarqués) — mais Art. 50 transparence maintenu à déc. 2026.</w:t>
      </w:r>
    </w:p>
    <w:p>
      <w:pPr>
        <w:spacing w:after="10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Retard généralisé de transposition : seulement 9 États membres sur 27 ont désigné leurs autorités nationales compétentes (mise à jour du 17 juin 2026).</w:t>
      </w:r>
    </w:p>
    <w:p>
      <w:pPr>
        <w:spacing w:after="200" w:before="200"/>
      </w:pPr>
      <w:r>
        <w:rPr>
          <w:rFonts w:ascii="Calibri" w:cs="Calibri" w:eastAsia="Calibri" w:hAnsi="Calibri"/>
          <w:color w:val="D1D5DB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</w:t>
      </w:r>
    </w:p>
    <w:p>
      <w:pPr>
        <w:spacing w:after="16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📅 Échéances réglementaires à venir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Calendrier mis à jour suite à l'AI Omnibus (accord politique mai 2026) :</w:t>
      </w:r>
    </w:p>
    <w:p>
      <w:pPr>
        <w:spacing w:after="10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✅ 2 février 2025 — Interdictions pratiques prohibées + obligations de littératie IA (en vigueur)</w:t>
      </w:r>
    </w:p>
    <w:p>
      <w:pPr>
        <w:spacing w:after="10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✅ 2 août 2025 — Règles GPAI (modèles à usage général) + gouvernance + autorités nationales (en vigueur)</w:t>
      </w:r>
    </w:p>
    <w:p>
      <w:pPr>
        <w:spacing w:after="10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⚡ 2 août 2026 (dans 42 jours) — Majorité des règles AI Act : systèmes à haut risque (Annexe III), transparence Art. 50, sandboxes réglementaires, supervision nationale</w:t>
      </w:r>
    </w:p>
    <w:p>
      <w:pPr>
        <w:spacing w:after="10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📌 2 décembre 2026 — Obligation de marquage contenus IA générative (Art. 50.2) + Code de conduite applicable</w:t>
      </w:r>
    </w:p>
    <w:p>
      <w:pPr>
        <w:spacing w:after="10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🔜 2 août 2027 — Sandboxes réglementaires nationales opérationnelles (repoussé par AI Omnibus)</w:t>
      </w:r>
    </w:p>
    <w:p>
      <w:pPr>
        <w:spacing w:after="10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🔜 2 décembre 2027 — Systèmes à haut risque autonomes (repoussé par AI Omnibus)</w:t>
      </w:r>
    </w:p>
    <w:p>
      <w:pPr>
        <w:spacing w:after="10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🔜 2 août 2028 — Systèmes à haut risque embarqués dans produits réglementés (repoussé)</w:t>
      </w:r>
    </w:p>
    <w:p>
      <w:pPr>
        <w:spacing w:after="200" w:before="200"/>
      </w:pPr>
      <w:r>
        <w:rPr>
          <w:rFonts w:ascii="Calibri" w:cs="Calibri" w:eastAsia="Calibri" w:hAnsi="Calibri"/>
          <w:color w:val="D1D5DB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</w:t>
      </w:r>
    </w:p>
    <w:p>
      <w:pPr>
        <w:spacing w:after="16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🏛️ Actualité officielle UE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Commission européenne — Digital Strategy ✅</w:t>
      </w:r>
    </w:p>
    <w:p>
      <w:pPr>
        <w:spacing w:after="60" w:before="160"/>
        <w:ind w:left="360"/>
      </w:pPr>
      <w:r>
        <w:rPr>
          <w:rFonts w:ascii="Calibri" w:cs="Calibri" w:eastAsia="Calibri" w:hAnsi="Calibri"/>
          <w:color w:val="1B3A6B"/>
          <w:sz w:val="22"/>
          <w:szCs w:val="22"/>
        </w:rPr>
        <w:t xml:space="preserve">▸ </w:t>
      </w:r>
      <w:hyperlink w:history="1" r:id="rId5jvivaax5dxwentgrnuov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Commission selects EUROPA consortium as winner of the Frontier AI Grande Challenge</w:t>
        </w:r>
      </w:hyperlink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  (19 juin 2026)</w:t>
      </w:r>
    </w:p>
    <w:p>
      <w:pPr>
        <w:spacing w:after="80"/>
        <w:ind w:left="72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La Commission désigne le consortium EUROPA pour construire un modèle IA open-source couvrant les 24 langues officielles de l'UE. Objectif de souveraineté numérique européenne.</w:t>
      </w:r>
    </w:p>
    <w:p>
      <w:pPr>
        <w:spacing w:after="60" w:before="160"/>
        <w:ind w:left="360"/>
      </w:pPr>
      <w:r>
        <w:rPr>
          <w:rFonts w:ascii="Calibri" w:cs="Calibri" w:eastAsia="Calibri" w:hAnsi="Calibri"/>
          <w:color w:val="1B3A6B"/>
          <w:sz w:val="22"/>
          <w:szCs w:val="22"/>
        </w:rPr>
        <w:t xml:space="preserve">▸ </w:t>
      </w:r>
      <w:hyperlink w:history="1" r:id="rIdf2jmbvouxm-heinny_chc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Commission publishes Code of Practice on marking and labelling AI-generated content</w:t>
        </w:r>
      </w:hyperlink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  (10 juin 2026)</w:t>
      </w:r>
    </w:p>
    <w:p>
      <w:pPr>
        <w:spacing w:after="80"/>
        <w:ind w:left="72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Code de conduite volontaire pour les fournisseurs d'IA générative sur les obligations de transparence et d'étiquetage (Article 50 AI Act). Application obligatoire à partir de décembre 2026.</w:t>
      </w:r>
    </w:p>
    <w:p>
      <w:pPr>
        <w:spacing w:after="60" w:before="160"/>
        <w:ind w:left="360"/>
      </w:pPr>
      <w:r>
        <w:rPr>
          <w:rFonts w:ascii="Calibri" w:cs="Calibri" w:eastAsia="Calibri" w:hAnsi="Calibri"/>
          <w:color w:val="1B3A6B"/>
          <w:sz w:val="22"/>
          <w:szCs w:val="22"/>
        </w:rPr>
        <w:t xml:space="preserve">▸ </w:t>
      </w:r>
      <w:hyperlink w:history="1" r:id="rIdi9olgvyl9nigdjji5_eye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EU agrees to simplify AI rules, boost innovation and ban nudification apps</w:t>
        </w:r>
      </w:hyperlink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  (7 mai 2026)</w:t>
      </w:r>
    </w:p>
    <w:p>
      <w:pPr>
        <w:spacing w:after="80"/>
        <w:ind w:left="72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Accord politique sur le paquet "AI Omnibus" : calendrier repoussé pour les systèmes à haut risque, interdiction des apps de nudification non-consentie, renforcement des pouvoirs du Bureau de l'IA.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Conseil de l'UE ⛔ (accès direct 403 — données via WebSearch)</w:t>
      </w:r>
    </w:p>
    <w:p>
      <w:pPr>
        <w:spacing w:after="60" w:before="160"/>
        <w:ind w:left="360"/>
      </w:pPr>
      <w:r>
        <w:rPr>
          <w:rFonts w:ascii="Calibri" w:cs="Calibri" w:eastAsia="Calibri" w:hAnsi="Calibri"/>
          <w:color w:val="1B3A6B"/>
          <w:sz w:val="22"/>
          <w:szCs w:val="22"/>
        </w:rPr>
        <w:t xml:space="preserve">▸ </w:t>
      </w:r>
      <w:hyperlink w:history="1" r:id="rIdiaw6etdkcnycgamza_5t2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Council and Parliament agree to simplify and streamline rules on AI</w:t>
        </w:r>
      </w:hyperlink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  (7 mai 2026)</w:t>
      </w:r>
    </w:p>
    <w:p>
      <w:pPr>
        <w:spacing w:after="80"/>
        <w:ind w:left="72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Accord provisoire Conseil/Parlement sur l'AI Omnibus : délais haut risque repoussés, interdiction CSAM et contenus intimes non-consentis, sandboxes repoussées à août 2027.</w:t>
      </w:r>
    </w:p>
    <w:p>
      <w:pPr>
        <w:spacing w:after="60" w:before="160"/>
        <w:ind w:left="360"/>
      </w:pPr>
      <w:r>
        <w:rPr>
          <w:rFonts w:ascii="Calibri" w:cs="Calibri" w:eastAsia="Calibri" w:hAnsi="Calibri"/>
          <w:color w:val="1B3A6B"/>
          <w:sz w:val="22"/>
          <w:szCs w:val="22"/>
        </w:rPr>
        <w:t xml:space="preserve">▸ </w:t>
      </w:r>
      <w:hyperlink w:history="1" r:id="rId3ovufyotnvxinyr2qtmbe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Council agrees position to streamline rules on Artificial Intelligence</w:t>
        </w:r>
      </w:hyperlink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  (13 mars 2026)</w:t>
      </w:r>
    </w:p>
    <w:p>
      <w:pPr>
        <w:spacing w:after="80"/>
        <w:ind w:left="72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Le Conseil adopte sa position sur la simplification des règles AI Act avant les trilogues avec le Parlement — amorçant les négociations de l'AI Omnibus.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AI Act Service Desk (calendrier officiel) ✅</w:t>
      </w:r>
    </w:p>
    <w:p>
      <w:pPr>
        <w:spacing w:after="10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Calendrier mis à jour post-AI Omnibus disponible en ligne.</w:t>
      </w:r>
    </w:p>
    <w:p>
      <w:pPr>
        <w:spacing w:after="10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</w:t>
      </w:r>
      <w:hyperlink w:history="1" r:id="rId70jlsccx6qizjjilbvm7u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Timeline officielle d'implémentation</w:t>
        </w:r>
      </w:hyperlink>
    </w:p>
    <w:p>
      <w:pPr>
        <w:spacing w:after="200" w:before="200"/>
      </w:pPr>
      <w:r>
        <w:rPr>
          <w:rFonts w:ascii="Calibri" w:cs="Calibri" w:eastAsia="Calibri" w:hAnsi="Calibri"/>
          <w:color w:val="D1D5DB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</w:t>
      </w:r>
    </w:p>
    <w:p>
      <w:pPr>
        <w:spacing w:after="16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📰 Analyses &amp; gouvernance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artificialintelligenceact.eu (Future of Life Institute) ⛔ (rendu JS — données via WebSearch)</w:t>
      </w:r>
    </w:p>
    <w:p>
      <w:pPr>
        <w:spacing w:after="60" w:before="160"/>
        <w:ind w:left="360"/>
      </w:pPr>
      <w:r>
        <w:rPr>
          <w:rFonts w:ascii="Calibri" w:cs="Calibri" w:eastAsia="Calibri" w:hAnsi="Calibri"/>
          <w:color w:val="1B3A6B"/>
          <w:sz w:val="22"/>
          <w:szCs w:val="22"/>
        </w:rPr>
        <w:t xml:space="preserve">▸ </w:t>
      </w:r>
      <w:hyperlink w:history="1" r:id="rIdqtxfwwth8qjev9yttwf-l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The EU AI Act's Transparency Rules: A Practical Guide to Article 50</w:t>
        </w:r>
      </w:hyperlink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  (Juin 2026)</w:t>
      </w:r>
    </w:p>
    <w:p>
      <w:pPr>
        <w:spacing w:after="80"/>
        <w:ind w:left="72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Guide pratique sur les règles de transparence applicables aux fournisseurs d'IA générative à partir d'août/décembre 2026.</w:t>
      </w:r>
    </w:p>
    <w:p>
      <w:pPr>
        <w:spacing w:after="60" w:before="160"/>
        <w:ind w:left="360"/>
      </w:pPr>
      <w:r>
        <w:rPr>
          <w:rFonts w:ascii="Calibri" w:cs="Calibri" w:eastAsia="Calibri" w:hAnsi="Calibri"/>
          <w:color w:val="1B3A6B"/>
          <w:sz w:val="22"/>
          <w:szCs w:val="22"/>
        </w:rPr>
        <w:t xml:space="preserve">▸ </w:t>
      </w:r>
      <w:hyperlink w:history="1" r:id="rIdpbgaoknv9gjeh4jc2uzp0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Overview of all AI Act National Implementation Plans</w:t>
        </w:r>
      </w:hyperlink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  (17 juin 2026)</w:t>
      </w:r>
    </w:p>
    <w:p>
      <w:pPr>
        <w:spacing w:after="80"/>
        <w:ind w:left="72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Seulement 9 États membres sur 27 ont désigné leurs autorités nationales compétentes — retard généralisé par rapport au délai d'août 2025.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IAPP (gouvernance IA mondiale) ✅</w:t>
      </w:r>
    </w:p>
    <w:p>
      <w:pPr>
        <w:spacing w:after="60" w:before="160"/>
        <w:ind w:left="360"/>
      </w:pPr>
      <w:r>
        <w:rPr>
          <w:rFonts w:ascii="Calibri" w:cs="Calibri" w:eastAsia="Calibri" w:hAnsi="Calibri"/>
          <w:color w:val="1B3A6B"/>
          <w:sz w:val="22"/>
          <w:szCs w:val="22"/>
        </w:rPr>
        <w:t xml:space="preserve">▸ </w:t>
      </w:r>
      <w:hyperlink w:history="1" r:id="rIdnykvtkrbrkrhr_byztum0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A view from Brussels: upcoming guidelines on GDPR / AI Act interplay</w:t>
        </w:r>
      </w:hyperlink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  (18 juin 2026)</w:t>
      </w:r>
    </w:p>
    <w:p>
      <w:pPr>
        <w:spacing w:after="80"/>
        <w:ind w:left="72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La Commission et le CEPD préparent des lignes directrices conjointes RGPD/AI Act couvrant transparence, évaluation des risques, biais et responsabilité — impact direct sur les DPO.</w:t>
      </w:r>
    </w:p>
    <w:p>
      <w:pPr>
        <w:spacing w:after="60" w:before="160"/>
        <w:ind w:left="360"/>
      </w:pPr>
      <w:r>
        <w:rPr>
          <w:rFonts w:ascii="Calibri" w:cs="Calibri" w:eastAsia="Calibri" w:hAnsi="Calibri"/>
          <w:color w:val="1B3A6B"/>
          <w:sz w:val="22"/>
          <w:szCs w:val="22"/>
        </w:rPr>
        <w:t xml:space="preserve">▸ </w:t>
      </w:r>
      <w:hyperlink w:history="1" r:id="rIdqav2f9djk_se-jxameivh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The Anthropic episode: governance challenge, not Europe's "kill switch"</w:t>
        </w:r>
      </w:hyperlink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  (16 juin 2026)</w:t>
      </w:r>
    </w:p>
    <w:p>
      <w:pPr>
        <w:spacing w:after="80"/>
        <w:ind w:left="72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Analyse de la directive US bloquant l'accès européen aux modèles Anthropic avancés — enjeux de gouvernance transatlantique et de souveraineté numérique.</w:t>
      </w:r>
    </w:p>
    <w:p>
      <w:pPr>
        <w:spacing w:after="200" w:before="200"/>
      </w:pPr>
      <w:r>
        <w:rPr>
          <w:rFonts w:ascii="Calibri" w:cs="Calibri" w:eastAsia="Calibri" w:hAnsi="Calibri"/>
          <w:color w:val="D1D5DB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</w:t>
      </w:r>
    </w:p>
    <w:p>
      <w:pPr>
        <w:spacing w:after="16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🇫🇷 Perspective française — CNIL / RGPD ✅</w:t>
      </w:r>
    </w:p>
    <w:p>
      <w:pPr>
        <w:spacing w:after="60" w:before="160"/>
        <w:ind w:left="360"/>
      </w:pPr>
      <w:r>
        <w:rPr>
          <w:rFonts w:ascii="Calibri" w:cs="Calibri" w:eastAsia="Calibri" w:hAnsi="Calibri"/>
          <w:color w:val="1B3A6B"/>
          <w:sz w:val="22"/>
          <w:szCs w:val="22"/>
        </w:rPr>
        <w:t xml:space="preserve">▸ </w:t>
      </w:r>
      <w:hyperlink w:history="1" r:id="rIdaa-expzm3lgs0dyxfvy12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IA conversationnelle et santé mentale des jeunes — résultats enquête européenne</w:t>
        </w:r>
      </w:hyperlink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  (5 mai 2026)</w:t>
      </w:r>
    </w:p>
    <w:p>
      <w:pPr>
        <w:spacing w:after="80"/>
        <w:ind w:left="72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9 jeunes sur 10 utilisent une IA conversationnelle en France ; 1 tiers évoque des sujets liés à leur bien-être mental. Résultats coordonnés entre APDs européennes — pertinent pour les ESSMS accueillant des jeunes adultes vulnérables.</w:t>
      </w:r>
    </w:p>
    <w:p>
      <w:pPr>
        <w:spacing w:after="60" w:before="160"/>
        <w:ind w:left="360"/>
      </w:pPr>
      <w:r>
        <w:rPr>
          <w:rFonts w:ascii="Calibri" w:cs="Calibri" w:eastAsia="Calibri" w:hAnsi="Calibri"/>
          <w:color w:val="1B3A6B"/>
          <w:sz w:val="22"/>
          <w:szCs w:val="22"/>
        </w:rPr>
        <w:t xml:space="preserve">▸ </w:t>
      </w:r>
      <w:hyperlink w:history="1" r:id="rId2lotkupwg4nrokpdkale2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CNIL finalise ses recommandations sur le développement des systèmes d'IA</w:t>
        </w:r>
      </w:hyperlink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  (22 juillet 2025)</w:t>
      </w:r>
    </w:p>
    <w:p>
      <w:pPr>
        <w:spacing w:after="80"/>
        <w:ind w:left="72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Finalisation des recommandations RGPD pour le développement IA (annotation, sécurité, applicabilité). Travaux sectoriels annoncés : santé, éducation, RH — secteur social en attente.</w:t>
      </w:r>
    </w:p>
    <w:p>
      <w:pPr>
        <w:spacing w:after="60" w:before="160"/>
        <w:ind w:left="360"/>
      </w:pPr>
      <w:r>
        <w:rPr>
          <w:rFonts w:ascii="Calibri" w:cs="Calibri" w:eastAsia="Calibri" w:hAnsi="Calibri"/>
          <w:color w:val="1B3A6B"/>
          <w:sz w:val="22"/>
          <w:szCs w:val="22"/>
        </w:rPr>
        <w:t xml:space="preserve">▸ </w:t>
      </w:r>
      <w:hyperlink w:history="1" r:id="rId64o9zjhrjpihs391uqxe8">
        <w:r>
          <w:rPr>
            <w:rFonts w:ascii="Calibri" w:cs="Calibri" w:eastAsia="Calibri" w:hAnsi="Calibri"/>
            <w:b/>
            <w:bCs/>
            <w:color w:val="1155CC"/>
            <w:sz w:val="22"/>
            <w:szCs w:val="22"/>
            <w:u w:val="single"/>
          </w:rPr>
          <w:t xml:space="preserve">Les APD européennes veulent être chargées des systèmes IA à haut risque</w:t>
        </w:r>
      </w:hyperlink>
      <w:r>
        <w:rPr>
          <w:rFonts w:ascii="Calibri" w:cs="Calibri" w:eastAsia="Calibri" w:hAnsi="Calibri"/>
          <w:i/>
          <w:iCs/>
          <w:color w:val="6B7280"/>
          <w:sz w:val="20"/>
          <w:szCs w:val="20"/>
        </w:rPr>
        <w:t xml:space="preserve">  (2025-2026)</w:t>
      </w:r>
    </w:p>
    <w:p>
      <w:pPr>
        <w:spacing w:after="80"/>
        <w:ind w:left="72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Position commune des APDs pour obtenir compétence principale sur les systèmes IA à haut risque impliquant des données personnelles — impact sur la supervision des outils DUI dans les ESSMS.</w:t>
      </w:r>
    </w:p>
    <w:p>
      <w:pPr>
        <w:spacing w:after="200" w:before="200"/>
      </w:pPr>
      <w:r>
        <w:rPr>
          <w:rFonts w:ascii="Calibri" w:cs="Calibri" w:eastAsia="Calibri" w:hAnsi="Calibri"/>
          <w:color w:val="D1D5DB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</w:t>
      </w:r>
    </w:p>
    <w:p>
      <w:pPr>
        <w:spacing w:after="16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⚠️ Impacts pour les ESSMS — Points de vigilance</w:t>
      </w:r>
    </w:p>
    <w:p>
      <w:pPr>
        <w:spacing w:after="12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 2 août 2026 (dans 42 jours) marque l'entrée en vigueur des règles majeures. Points d'attention pour un foyer d'hébergement :</w:t>
      </w:r>
    </w:p>
    <w:p>
      <w:pPr>
        <w:spacing w:after="10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📋 Inventaire des outils IA utilisés — Identifier tous les systèmes IA en production (DUI Imago, outils de planification, détection comportements, etc.) et les classer selon la nomenclature AI Act (prohibé / haut risque / risque limité / risque minimal).</w:t>
      </w:r>
    </w:p>
    <w:p>
      <w:pPr>
        <w:spacing w:after="10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🔍 Systèmes à haut risque (Annexe III) — Les outils IA d'aide à la décision sur les droits des personnes (admission, sortie, évaluation des besoins, accès aux services) sont probablement classifiés "haut risque". Audit de conformité requis avant déc. 2027 (AI Omnibus).</w:t>
      </w:r>
    </w:p>
    <w:p>
      <w:pPr>
        <w:spacing w:after="10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📣 Transparence vis-à-vis des personnes accompagnées — Obligation dès août 2026 d'informer les personnes lorsqu'elles interagissent avec un système IA. À intégrer dans les projets personnalisés et les chartes d'établissement.</w:t>
      </w:r>
    </w:p>
    <w:p>
      <w:pPr>
        <w:spacing w:after="10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🔗 Interopérabilité RGPD/AI Act — Les lignes directrices CEPD/Commission attendues clarifient les obligations croisées. Le DPO de l'association doit être associé à la démarche de mise en conformité AI Act.</w:t>
      </w:r>
    </w:p>
    <w:p>
      <w:pPr>
        <w:spacing w:after="10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📚 Formation des équipes — L'obligation de "littératie IA" (en vigueur depuis févr. 2025) impose une formation des professionnels utilisant des outils IA. À intégrer dans le plan de formation et les actions collectives de travail (OPCO Santé).</w:t>
      </w:r>
    </w:p>
    <w:p>
      <w:pPr>
        <w:spacing w:after="10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🧠 IA conversationnelle et vulnérabilité — Les résultats CNIL/APDs sur la santé mentale des jeunes utilisateurs d'IA interpellent pour les adultes accompagnés en ESSMS : vigilance sur les usages personnels non supervisés.</w:t>
      </w:r>
    </w:p>
    <w:p>
      <w:pPr>
        <w:spacing w:after="200" w:before="200"/>
      </w:pPr>
      <w:r>
        <w:rPr>
          <w:rFonts w:ascii="Calibri" w:cs="Calibri" w:eastAsia="Calibri" w:hAnsi="Calibri"/>
          <w:color w:val="D1D5DB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</w:t>
      </w:r>
    </w:p>
    <w:p>
      <w:pPr>
        <w:spacing w:after="16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📚 Sources consultées le 21 juin 2026</w:t>
      </w:r>
    </w:p>
    <w:p>
      <w:pPr>
        <w:spacing w:after="10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✅ </w:t>
      </w:r>
      <w:hyperlink w:history="1" r:id="rIde7wbfqxo_eosbykrnzp_o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digital-strategy.ec.europa.eu — Regulatory framework for AI (Commission)</w:t>
        </w:r>
      </w:hyperlink>
    </w:p>
    <w:p>
      <w:pPr>
        <w:spacing w:after="10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✅ </w:t>
      </w:r>
      <w:hyperlink w:history="1" r:id="rIds4o1jof-hayelmnfe5hrd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ai-act-service-desk.ec.europa.eu — Timeline implementation (Service desk officiel)</w:t>
        </w:r>
      </w:hyperlink>
    </w:p>
    <w:p>
      <w:pPr>
        <w:spacing w:after="10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⛔ (403 — données via WebSearch) </w:t>
      </w:r>
      <w:hyperlink w:history="1" r:id="rIdf29mm9fsxvwp9vr0_aolb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consilium.europa.eu — Communiqués de presse (Conseil UE)</w:t>
        </w:r>
      </w:hyperlink>
    </w:p>
    <w:p>
      <w:pPr>
        <w:spacing w:after="10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⛔ (rendu JS — données via WebSearch) </w:t>
      </w:r>
      <w:hyperlink w:history="1" r:id="rIdc1nzbzvk7otpdjut4umih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artificialintelligenceact.eu — Analyses &amp; guides (Future of Life Institute)</w:t>
        </w:r>
      </w:hyperlink>
    </w:p>
    <w:p>
      <w:pPr>
        <w:spacing w:after="10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⛔ (rendu JS — données via WebSearch) </w:t>
      </w:r>
      <w:hyperlink w:history="1" r:id="rIdc5lzu2upclsfzzymtkiko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artificialintelligenceact.eu/implementation-timeline — Calendrier détaillé</w:t>
        </w:r>
      </w:hyperlink>
    </w:p>
    <w:p>
      <w:pPr>
        <w:spacing w:after="10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✅ </w:t>
      </w:r>
      <w:hyperlink w:history="1" r:id="rId8jppgdeogk7kjriu13km2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iapp.org/news — Gouvernance IA mondiale (IAPP)</w:t>
        </w:r>
      </w:hyperlink>
    </w:p>
    <w:p>
      <w:pPr>
        <w:spacing w:after="10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✅ </w:t>
      </w:r>
      <w:hyperlink w:history="1" r:id="rIdy1zo9ccrqluodfan77llt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cnil.fr/fr/intelligence-artificielle — Régulateur français RGPD/IA</w:t>
        </w:r>
      </w:hyperlink>
    </w:p>
    <w:p>
      <w:pPr>
        <w:spacing w:after="200" w:before="200"/>
      </w:pPr>
      <w:r>
        <w:rPr>
          <w:rFonts w:ascii="Calibri" w:cs="Calibri" w:eastAsia="Calibri" w:hAnsi="Calibri"/>
          <w:color w:val="D1D5DB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</w:t>
      </w:r>
    </w:p>
    <w:p>
      <w:pPr>
        <w:spacing w:after="160" w:before="4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🔜 À surveiller la semaine prochaine</w:t>
      </w:r>
    </w:p>
    <w:p>
      <w:pPr>
        <w:spacing w:after="10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Publication des lignes directrices conjointes RGPD/AI Act (CEPD + Commission) — annoncées comme imminentes (IAPP 18 juin).</w:t>
      </w:r>
    </w:p>
    <w:p>
      <w:pPr>
        <w:spacing w:after="10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Finalisation du Code de conduite IA générative (version définitive attendue juin 2026).</w:t>
      </w:r>
    </w:p>
    <w:p>
      <w:pPr>
        <w:spacing w:after="10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Avancement des désignations d'autorités nationales compétentes — seulement 9/27 États membres à ce jour.</w:t>
      </w:r>
    </w:p>
    <w:p>
      <w:pPr>
        <w:spacing w:after="10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Compte à rebours 2 août 2026 — surveiller les circulaires et recommandations sectorielles pour les ESSMS (DGCS, CNSA).</w:t>
      </w:r>
    </w:p>
    <w:p>
      <w:pPr>
        <w:spacing w:after="100"/>
        <w:ind w:left="360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• Transposition française de l'AI Act — position française sur la désignation de l'autorité compétente (CNIL vs autorité sectorielle ?).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jvivaax5dxwentgrnuov" Type="http://schemas.openxmlformats.org/officeDocument/2006/relationships/hyperlink" Target="https://digital-strategy.ec.europa.eu/en/news/commission-selects-europa-consortium-winner-frontier-ai-grande-challenge-project-build-european" TargetMode="External"/><Relationship Id="rIdf2jmbvouxm-heinny_chc" Type="http://schemas.openxmlformats.org/officeDocument/2006/relationships/hyperlink" Target="https://digital-strategy.ec.europa.eu/en/news/commission-publishes-code-practice-marking-and-labelling-ai-generated-content" TargetMode="External"/><Relationship Id="rIdi9olgvyl9nigdjji5_eye" Type="http://schemas.openxmlformats.org/officeDocument/2006/relationships/hyperlink" Target="https://digital-strategy.ec.europa.eu/en/news/eu-agrees-simplify-ai-rules-boost-innovation-and-ban-nudification-apps-protect-citizens" TargetMode="External"/><Relationship Id="rIdiaw6etdkcnycgamza_5t2" Type="http://schemas.openxmlformats.org/officeDocument/2006/relationships/hyperlink" Target="https://www.consilium.europa.eu/en/press/press-releases/2026/05/07/artificial-intelligence-council-and-parliament-agree-to-simplify-and-streamline-rules/" TargetMode="External"/><Relationship Id="rId3ovufyotnvxinyr2qtmbe" Type="http://schemas.openxmlformats.org/officeDocument/2006/relationships/hyperlink" Target="https://www.consilium.europa.eu/en/press/press-releases/2026/03/13/council-agrees-position-to-streamline-rules-on-artificial-intelligence/" TargetMode="External"/><Relationship Id="rId70jlsccx6qizjjilbvm7u" Type="http://schemas.openxmlformats.org/officeDocument/2006/relationships/hyperlink" Target="https://ai-act-service-desk.ec.europa.eu/en/ai-act/timeline/timeline-implementation-eu-ai-act" TargetMode="External"/><Relationship Id="rIdqtxfwwth8qjev9yttwf-l" Type="http://schemas.openxmlformats.org/officeDocument/2006/relationships/hyperlink" Target="https://artificialintelligenceact.eu/transparency-rules-article-50/" TargetMode="External"/><Relationship Id="rIdpbgaoknv9gjeh4jc2uzp0" Type="http://schemas.openxmlformats.org/officeDocument/2006/relationships/hyperlink" Target="https://artificialintelligenceact.eu/national-implementation-plans/" TargetMode="External"/><Relationship Id="rIdnykvtkrbrkrhr_byztum0" Type="http://schemas.openxmlformats.org/officeDocument/2006/relationships/hyperlink" Target="https://iapp.org/news/a/a-view-from-brussels-a-sneak-peek-into-upcoming-guidelines-on-gdpr-ai-act-interplay" TargetMode="External"/><Relationship Id="rIdqav2f9djk_se-jxameivh" Type="http://schemas.openxmlformats.org/officeDocument/2006/relationships/hyperlink" Target="https://iapp.org/news/a/the-anthropic-episode-probably-a-security-challenge-in-need-of-governance-certainly-not-europe-s-kill-switch" TargetMode="External"/><Relationship Id="rIdaa-expzm3lgs0dyxfvy12" Type="http://schemas.openxmlformats.org/officeDocument/2006/relationships/hyperlink" Target="https://www.cnil.fr/fr/ia-conversationnelle-et-sante-mentale-des-jeunes-resultats-de-lenquete-europeenne" TargetMode="External"/><Relationship Id="rId2lotkupwg4nrokpdkale2" Type="http://schemas.openxmlformats.org/officeDocument/2006/relationships/hyperlink" Target="https://www.cnil.fr/fr/ia-finalisation-recommandations-developpement-des-systemes-ia" TargetMode="External"/><Relationship Id="rId64o9zjhrjpihs391uqxe8" Type="http://schemas.openxmlformats.org/officeDocument/2006/relationships/hyperlink" Target="https://www.cnil.fr/fr/regulation-de-lia-les-autorites-de-protection-des-donnees-europeennes-veulent-etre-chargees" TargetMode="External"/><Relationship Id="rIde7wbfqxo_eosbykrnzp_o" Type="http://schemas.openxmlformats.org/officeDocument/2006/relationships/hyperlink" Target="https://digital-strategy.ec.europa.eu/en/policies/regulatory-framework-ai" TargetMode="External"/><Relationship Id="rIds4o1jof-hayelmnfe5hrd" Type="http://schemas.openxmlformats.org/officeDocument/2006/relationships/hyperlink" Target="https://ai-act-service-desk.ec.europa.eu/en/ai-act/timeline/timeline-implementation-eu-ai-act" TargetMode="External"/><Relationship Id="rIdf29mm9fsxvwp9vr0_aolb" Type="http://schemas.openxmlformats.org/officeDocument/2006/relationships/hyperlink" Target="https://www.consilium.europa.eu/en/press/press-releases/" TargetMode="External"/><Relationship Id="rIdc1nzbzvk7otpdjut4umih" Type="http://schemas.openxmlformats.org/officeDocument/2006/relationships/hyperlink" Target="https://artificialintelligenceact.eu/" TargetMode="External"/><Relationship Id="rIdc5lzu2upclsfzzymtkiko" Type="http://schemas.openxmlformats.org/officeDocument/2006/relationships/hyperlink" Target="https://artificialintelligenceact.eu/implementation-timeline/" TargetMode="External"/><Relationship Id="rId8jppgdeogk7kjriu13km2" Type="http://schemas.openxmlformats.org/officeDocument/2006/relationships/hyperlink" Target="https://iapp.org/news/" TargetMode="External"/><Relationship Id="rIdy1zo9ccrqluodfan77llt" Type="http://schemas.openxmlformats.org/officeDocument/2006/relationships/hyperlink" Target="https://www.cnil.fr/fr/intelligence-artificielle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Veille AI Act — 21 juin 2026</dc:title>
  <dc:creator>Claude Code — Veille AI Act</dc:creator>
  <dc:description>Compte-rendu hebdomadaire de veille AI Act — impacts ESSMS</dc:description>
  <cp:lastModifiedBy>Un-named</cp:lastModifiedBy>
  <cp:revision>1</cp:revision>
  <dcterms:created xsi:type="dcterms:W3CDTF">2026-06-21T05:07:08.995Z</dcterms:created>
  <dcterms:modified xsi:type="dcterms:W3CDTF">2026-06-21T05:07:08.996Z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