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200"/>
        <w:jc w:val="center"/>
      </w:pPr>
      <w:r>
        <w:rPr>
          <w:rFonts w:ascii="Times New Roman" w:cs="Times New Roman" w:eastAsia="Times New Roman" w:hAnsi="Times New Roman"/>
          <w:b/>
          <w:bCs/>
          <w:color w:val="1B3A6B"/>
          <w:sz w:val="52"/>
          <w:szCs w:val="52"/>
        </w:rPr>
        <w:t xml:space="preserve">Leçon Placement financier n°07</w:t>
      </w:r>
    </w:p>
    <w:p>
      <w:pPr>
        <w:spacing w:after="200"/>
        <w:jc w:val="center"/>
      </w:pPr>
      <w:r>
        <w:rPr>
          <w:rFonts w:ascii="Times New Roman" w:cs="Times New Roman" w:eastAsia="Times New Roman" w:hAnsi="Times New Roman"/>
          <w:b/>
          <w:bCs/>
          <w:color w:val="1B3A6B"/>
          <w:sz w:val="52"/>
          <w:szCs w:val="52"/>
        </w:rPr>
        <w:t xml:space="preserve">Le PER et la préparation de la retraite</w:t>
      </w:r>
    </w:p>
    <w:p>
      <w:pPr>
        <w:spacing w:after="80"/>
      </w:pPr>
      <w:r>
        <w:t xml:space="preserve"/>
      </w:r>
    </w:p>
    <w:p>
      <w:pPr>
        <w:spacing w:after="100"/>
        <w:jc w:val="center"/>
      </w:pPr>
      <w:r>
        <w:rPr>
          <w:rFonts w:ascii="Times New Roman" w:cs="Times New Roman" w:eastAsia="Times New Roman" w:hAnsi="Times New Roman"/>
          <w:b/>
          <w:bCs/>
          <w:color w:val="1F2937"/>
          <w:sz w:val="22"/>
          <w:szCs w:val="22"/>
        </w:rPr>
        <w:t xml:space="preserve">📅  25 juillet 2026  ·  Module Fondamental — leçon 07 / 16</w:t>
      </w:r>
    </w:p>
    <w:p>
      <w:pPr>
        <w:spacing w:after="100"/>
        <w:jc w:val="center"/>
      </w:pPr>
      <w:r>
        <w:rPr>
          <w:rFonts w:ascii="Times New Roman" w:cs="Times New Roman" w:eastAsia="Times New Roman" w:hAnsi="Times New Roman"/>
          <w:i/>
          <w:iCs/>
          <w:color w:val="1F2937"/>
          <w:sz w:val="22"/>
          <w:szCs w:val="22"/>
        </w:rPr>
        <w:t xml:space="preserve">🔗  S'appuie sur les leçons 01 à 06 (fondations, risque, classes d'actifs, intérêts composés, enveloppes, assurance-vie)</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Objectif &amp; continuité</w:t>
      </w:r>
    </w:p>
    <w:p>
      <w:pPr>
        <w:spacing w:after="100"/>
        <w:jc w:val="both"/>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Expliquer ce qu'est un PER et distinguer ses trois formes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Comprendre la mécanique de déduction fiscale à l'entrée et son intérêt selon le taux marginal d'imposition (TMI)</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Choisir en connaissance de cause entre sortie en capital et sortie en rente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Lire le tableau de fiscalité à la sortie selon les cas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Identifier pourquoi le PER est particulièrement pertinent dans un horizon de préparation retraite à 7-8 ans</w:t>
      </w:r>
    </w:p>
    <w:p>
      <w:pPr>
        <w:spacing w:after="80"/>
      </w:pPr>
      <w:r>
        <w:t xml:space="preserve"/>
      </w:r>
    </w:p>
    <w:p>
      <w:pPr>
        <w:spacing w:after="100"/>
        <w:jc w:val="both"/>
      </w:pPr>
      <w:r>
        <w:rPr>
          <w:rFonts w:ascii="Times New Roman" w:cs="Times New Roman" w:eastAsia="Times New Roman" w:hAnsi="Times New Roman"/>
          <w:color w:val="1F2937"/>
          <w:sz w:val="22"/>
          <w:szCs w:val="22"/>
        </w:rPr>
        <w:t xml:space="preserve">Continuité : La leçon 06 a détaillé l'assurance-vie (fonds euros, unités de compte, fiscalité après 8 ans, clause bénéficiaire). Le PER partage certaines similitudes (enveloppe, supports UC) mais répond à une logique inverse : son avantage fiscal est à l'ENTRÉE (déduction des versements) et non à la sortie comme l'assurance-vie. Ces deux enveloppes sont souvent complémentaires.</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 RAPPEL — Cette leçon relève de l'éducation financière générale. Elle ne constitue pas un conseil en investissement personnalisé. Les supports en unités de compte (UC) au sein d'un PER comportent un risque de perte en capital. Consultez un conseiller en gestion de patrimoine (CGP) ou un conseiller en investissements financiers (CIF) agréé avant toute décision.</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Théorie (20 %) — Comprendre le PER</w:t>
      </w:r>
    </w:p>
    <w:p>
      <w:pPr>
        <w:spacing w:after="80" w:before="200"/>
      </w:pPr>
      <w:r>
        <w:rPr>
          <w:rFonts w:ascii="Times New Roman" w:cs="Times New Roman" w:eastAsia="Times New Roman" w:hAnsi="Times New Roman"/>
          <w:b/>
          <w:bCs/>
          <w:color w:val="1F2937"/>
          <w:sz w:val="26"/>
          <w:szCs w:val="26"/>
        </w:rPr>
        <w:t xml:space="preserve">1. Qu'est-ce que le PER ?</w:t>
      </w:r>
    </w:p>
    <w:p>
      <w:pPr>
        <w:spacing w:after="100"/>
        <w:jc w:val="both"/>
      </w:pPr>
      <w:r>
        <w:rPr>
          <w:rFonts w:ascii="Times New Roman" w:cs="Times New Roman" w:eastAsia="Times New Roman" w:hAnsi="Times New Roman"/>
          <w:color w:val="1F2937"/>
          <w:sz w:val="22"/>
          <w:szCs w:val="22"/>
        </w:rPr>
        <w:t xml:space="preserve">Le Plan d'Épargne Retraite (PER) est une enveloppe d'épargne longue durée créée par la loi PACTE de 2019. Il remplace les anciens produits PERP, Madelin, PERCO et article 83, en les unifiant sous un cadre simplifié. Son principe fondateur : constituer un capital en phase d'activité, tout en bénéficiant d'un avantage fiscal immédiat (déduction des versements), en vue d'un déblocage à la retraite.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2. Les trois formes de PER</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PER individuel (PERIN) : ouvert à tous (salariés, indépendants, sans-emploi, retraités). Accessible en banque, assurance ou courtier.</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PER d'entreprise collectif (PERECO) : proposé par l'employeur, alimenté par épargne salariale (intéressement, participation, abondement).</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PER d'entreprise obligatoire (PERO) : pour certaines catégories de salariés, sortie en rente obligatoire à la retraite.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3. Phase de constitution : versements et déduction fiscale</w:t>
      </w:r>
    </w:p>
    <w:p>
      <w:pPr>
        <w:spacing w:after="100"/>
        <w:jc w:val="both"/>
      </w:pPr>
      <w:r>
        <w:rPr>
          <w:rFonts w:ascii="Times New Roman" w:cs="Times New Roman" w:eastAsia="Times New Roman" w:hAnsi="Times New Roman"/>
          <w:color w:val="1F2937"/>
          <w:sz w:val="22"/>
          <w:szCs w:val="22"/>
        </w:rPr>
        <w:t xml:space="preserve">Les versements volontaires sur un PER individuel sont déductibles du revenu brut global dans la limite d'un plafond annuel.</w:t>
      </w:r>
    </w:p>
    <w:p>
      <w:pPr>
        <w:spacing w:after="100"/>
        <w:jc w:val="both"/>
      </w:pPr>
      <w:r>
        <w:rPr>
          <w:rFonts w:ascii="Times New Roman" w:cs="Times New Roman" w:eastAsia="Times New Roman" w:hAnsi="Times New Roman"/>
          <w:color w:val="1F2937"/>
          <w:sz w:val="22"/>
          <w:szCs w:val="22"/>
        </w:rPr>
        <w:t xml:space="preserve">Plafonds 2026 (par membre du foyer fiscal) — le plus élevé des deux montants suivants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10 % des revenus professionnels nets de l'année précédente (plafonné à 37 680 €)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Plancher : 4 710 €</w:t>
      </w:r>
    </w:p>
    <w:p>
      <w:pPr>
        <w:spacing w:after="100"/>
        <w:jc w:val="both"/>
      </w:pPr>
      <w:r>
        <w:rPr>
          <w:rFonts w:ascii="Times New Roman" w:cs="Times New Roman" w:eastAsia="Times New Roman" w:hAnsi="Times New Roman"/>
          <w:color w:val="1F2937"/>
          <w:sz w:val="22"/>
          <w:szCs w:val="22"/>
        </w:rPr>
        <w:t xml:space="preserve">Depuis 2026, les plafonds non utilisés des cinq années précédentes (au lieu de trois) peuvent être reportés et mobilisés.</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Principe clé : l'économie d'impôt est proportionnelle au TMI. Un versement de 1 000 € coûte 700 € net si le TMI est à 30 % (économie : 300 €), mais seulement 890 € net si le TMI est à 11 % (économie : 110 €). Plus le TMI est élevé, plus la déduction est avantageuse.</w:t>
      </w:r>
    </w:p>
    <w:p>
      <w:pPr>
        <w:spacing w:after="80"/>
      </w:pPr>
      <w:r>
        <w:t xml:space="preserve"/>
      </w:r>
    </w:p>
    <w:p>
      <w:pPr>
        <w:spacing w:after="100"/>
        <w:jc w:val="both"/>
      </w:pPr>
      <w:r>
        <w:rPr>
          <w:rFonts w:ascii="Times New Roman" w:cs="Times New Roman" w:eastAsia="Times New Roman" w:hAnsi="Times New Roman"/>
          <w:color w:val="1F2937"/>
          <w:sz w:val="22"/>
          <w:szCs w:val="22"/>
        </w:rPr>
        <w:t xml:space="preserve">Option alternative : il est possible de RENONCER à la déduction à l'entrée (versements « non déduits »). La fiscalité à la sortie en sera allégée (voir tableau ci-dessous). Cela peut être judicieux si le TMI pendant l'activité est faible.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4. La gestion pilotée (par défaut)</w:t>
      </w:r>
    </w:p>
    <w:p>
      <w:pPr>
        <w:spacing w:after="100"/>
        <w:jc w:val="both"/>
      </w:pPr>
      <w:r>
        <w:rPr>
          <w:rFonts w:ascii="Times New Roman" w:cs="Times New Roman" w:eastAsia="Times New Roman" w:hAnsi="Times New Roman"/>
          <w:color w:val="1F2937"/>
          <w:sz w:val="22"/>
          <w:szCs w:val="22"/>
        </w:rPr>
        <w:t xml:space="preserve">Par défaut, le PER fonctionne en « gestion pilotée horizon retraite » : l'épargne est investie en actifs dynamiques (actions, UC) lorsque l'horizon est long, puis progressivement sécurisée (fonds euros, obligations) à l'approche de la date de retraite. Ce mécanisme automatique réduit le risque de perte en capital au moment où vous en aurez besoin.</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5. Déblocages anticipés possibles</w:t>
      </w:r>
    </w:p>
    <w:p>
      <w:pPr>
        <w:spacing w:after="100"/>
        <w:jc w:val="both"/>
      </w:pPr>
      <w:r>
        <w:rPr>
          <w:rFonts w:ascii="Times New Roman" w:cs="Times New Roman" w:eastAsia="Times New Roman" w:hAnsi="Times New Roman"/>
          <w:color w:val="1F2937"/>
          <w:sz w:val="22"/>
          <w:szCs w:val="22"/>
        </w:rPr>
        <w:t xml:space="preserve">Bien que le PER soit bloqué jusqu'à la retraite, des cas de déblocage anticipé existent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Décès du conjoint ou partenaire de PACS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Invalidité (de soi-même, du conjoint ou d'un enfant)</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Surendettement</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Expiration des droits à l'assurance chômage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Achat de la résidence principale (pour les compartiments individuel et collectif uniquement)</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6. Phase de sortie : capital, rente ou mixte</w:t>
      </w:r>
    </w:p>
    <w:p>
      <w:pPr>
        <w:spacing w:after="100"/>
        <w:jc w:val="both"/>
      </w:pPr>
      <w:r>
        <w:rPr>
          <w:rFonts w:ascii="Times New Roman" w:cs="Times New Roman" w:eastAsia="Times New Roman" w:hAnsi="Times New Roman"/>
          <w:color w:val="1F2937"/>
          <w:sz w:val="22"/>
          <w:szCs w:val="22"/>
        </w:rPr>
        <w:t xml:space="preserve">À l'âge de la retraite, trois options sont disponibles pour les compartiments individuel et collectif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Sortie en capital : récupération en une fois ou de manière fractionnée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Sortie en rente viagère : versement mensuel garanti à vie</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Sortie mixte : combinaison des deux (une partie en capital, une partie en rente)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7. Fiscalité à la sortie (2026)</w:t>
      </w:r>
    </w:p>
    <w:p>
      <w:pPr>
        <w:spacing w:after="100"/>
        <w:jc w:val="both"/>
      </w:pPr>
      <w:r>
        <w:rPr>
          <w:rFonts w:ascii="Times New Roman" w:cs="Times New Roman" w:eastAsia="Times New Roman" w:hAnsi="Times New Roman"/>
          <w:color w:val="1F2937"/>
          <w:sz w:val="22"/>
          <w:szCs w:val="22"/>
        </w:rPr>
        <w:t xml:space="preserve">Le régime fiscal dépend de deux variables : le mode de sortie (capital ou rente) ET le fait que les versements aient été déduits ou non.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Situation</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Part capital</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Intérêts / plus-values</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Versements déduits → Sortie en capital</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Barème IR progressif (sans abattement)</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PFU 31,4 % (12,8 % IR + 18,6 % PS)</w:t>
            </w:r>
          </w:p>
        </w:tc>
      </w:tr>
      <w:tr>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Versements non déduits → Sortie en capital</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Exonérée d'IR et de PS</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PFU 31,4 % (12,8 % IR + 18,6 % PS)</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Sortie en rente viagère (versements déduits ou non)</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Barème IR — régime pensions de retraite, abattement 10 %</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PS 18,6 % (depuis 01/01/2026)</w:t>
            </w:r>
          </w:p>
        </w:tc>
      </w:tr>
    </w:tbl>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Point de vigilance : en cas de sortie en capital avec versements déduits, la part du capital versé est imposée au barème IR progressif, sans abattement. Cela peut représenter un montant significatif si le capital est important. La sortie fractionnée (capital versé en plusieurs fois sur plusieurs années) peut permettre d'étaler la charge fiscale.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8. Décès avant liquidation</w:t>
      </w:r>
    </w:p>
    <w:p>
      <w:pPr>
        <w:spacing w:after="100"/>
        <w:jc w:val="both"/>
      </w:pPr>
      <w:r>
        <w:rPr>
          <w:rFonts w:ascii="Times New Roman" w:cs="Times New Roman" w:eastAsia="Times New Roman" w:hAnsi="Times New Roman"/>
          <w:color w:val="1F2937"/>
          <w:sz w:val="22"/>
          <w:szCs w:val="22"/>
        </w:rPr>
        <w:t xml:space="preserve">Si le souscripteur décède avant d'avoir liquidé son PER, les fonds sont transmis aux bénéficiaires désignés selon un régime proche de l'assurance-vie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Décès avant 70 ans : exonération jusqu'à 152 500 € par bénéficiaire ; au-delà : 20 % jusqu'à 700 000 €, puis 31,25 %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Décès après 70 ans : abattement unique de 30 500 € pour l'ensemble des bénéficiaires ; au-delà : intégration à la succession</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9. Transfert des anciens produits</w:t>
      </w:r>
    </w:p>
    <w:p>
      <w:pPr>
        <w:spacing w:after="100"/>
        <w:jc w:val="both"/>
      </w:pPr>
      <w:r>
        <w:rPr>
          <w:rFonts w:ascii="Times New Roman" w:cs="Times New Roman" w:eastAsia="Times New Roman" w:hAnsi="Times New Roman"/>
          <w:color w:val="1F2937"/>
          <w:sz w:val="22"/>
          <w:szCs w:val="22"/>
        </w:rPr>
        <w:t xml:space="preserve">Les anciens produits d'épargne retraite (PERP, Madelin, Préfon) peuvent être transférés vers un PER. Le transfert entre PER est gratuit si le contrat a plus de 5 ans (frais limités à 1 % sinon). Avantage du transfert : accès à une gamme de supports plus large, possibilité de sortie en capital (impossible sur PERP ou Madelin).</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10. PER et assurance-vie : deux logiques complémentaires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Critère</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PER</w:t>
            </w:r>
          </w:p>
        </w:tc>
        <w:tc>
          <w:tcPr>
            <w:shd w:fill="1B3A6B"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Assurance-vie</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Avantage fiscal</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À l'entrée (déduction)</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À la sortie (après 8 ans)</w:t>
            </w:r>
          </w:p>
        </w:tc>
      </w:tr>
      <w:tr>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Liquidité</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Bloqué jusqu'à la retraite (sauf cas)</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Disponible à tout moment</w:t>
            </w:r>
          </w:p>
        </w:tc>
      </w:tr>
      <w:tr>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Sortie</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Capital, rente ou mixte</w:t>
            </w:r>
          </w:p>
        </w:tc>
        <w:tc>
          <w:tcPr>
            <w:shd w:fill="FFFFFF"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Capital, rente (option)</w:t>
            </w:r>
          </w:p>
        </w:tc>
      </w:tr>
      <w:tr>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Succession</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Régime AV si décès avant retraite</w:t>
            </w:r>
          </w:p>
        </w:tc>
        <w:tc>
          <w:tcPr>
            <w:shd w:fill="EEF2F7" w:color="auto" w:val="clear"/>
            <w:tcMar>
              <w:top w:type="dxa" w:w="60"/>
              <w:left w:type="dxa" w:w="120"/>
              <w:bottom w:type="dxa" w:w="60"/>
              <w:right w:type="dxa" w:w="120"/>
            </w:tcMar>
          </w:tcPr>
          <w:p>
            <w:pPr>
              <w:jc w:val="left"/>
            </w:pPr>
            <w:r>
              <w:rPr>
                <w:rFonts w:ascii="Times New Roman" w:cs="Times New Roman" w:eastAsia="Times New Roman" w:hAnsi="Times New Roman"/>
                <w:color w:val="1F2937"/>
                <w:sz w:val="18"/>
                <w:szCs w:val="18"/>
              </w:rPr>
              <w:t xml:space="preserve">Clause bénéficiaire, abattements</w:t>
            </w:r>
          </w:p>
        </w:tc>
      </w:tr>
    </w:tbl>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Pratique (80 %) — Exercices d'apprentissage actif</w:t>
      </w:r>
    </w:p>
    <w:p>
      <w:pPr>
        <w:spacing w:after="80" w:before="200"/>
      </w:pPr>
      <w:r>
        <w:rPr>
          <w:rFonts w:ascii="Times New Roman" w:cs="Times New Roman" w:eastAsia="Times New Roman" w:hAnsi="Times New Roman"/>
          <w:b/>
          <w:bCs/>
          <w:color w:val="1F2937"/>
          <w:sz w:val="26"/>
          <w:szCs w:val="26"/>
        </w:rPr>
        <w:t xml:space="preserve">Exercice 1 — Calculer son économie d'impôt</w:t>
      </w:r>
    </w:p>
    <w:p>
      <w:pPr>
        <w:spacing w:after="100"/>
        <w:jc w:val="both"/>
      </w:pPr>
      <w:r>
        <w:rPr>
          <w:rFonts w:ascii="Times New Roman" w:cs="Times New Roman" w:eastAsia="Times New Roman" w:hAnsi="Times New Roman"/>
          <w:color w:val="1F2937"/>
          <w:sz w:val="22"/>
          <w:szCs w:val="22"/>
        </w:rPr>
        <w:t xml:space="preserve">Contexte : tu envisages de verser 3 000 € sur un PER individuel en 2026. Tu es salarié avec un TMI de 30 %.</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Quelle est l'économie d'impôt réalisée cette année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Quel est le coût net réel de ce versement de 3 000 €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Si ton TMI était de 11 % au lieu de 30 %, quelle serait l'économie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 À partir de quel TMI la déduction devient-elle vraiment intéressante selon toi ? Argumentez.</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Économie = 3 000 € × 30 % = 900 €. b. Coût net = 3 000 € − 900 € = 2 100 €. c. Économie à 11 % = 3 000 € × 11 % = 330 €. d. Réflexion ouverte : l'avantage est mécaniquement plus fort aux TMI 30 %, 41 % ou 45 %. Aux TMI 11 %, le gain immédiat est limité — il peut être judicieux d'évaluer si renoncer à la déduction (versements non déduits) offre un meilleur équilibre fiscal à la sortie selon le TMI prévisible à la retraite.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Exercice 2 — Capital ou rente ? Analyse comparative</w:t>
      </w:r>
    </w:p>
    <w:p>
      <w:pPr>
        <w:spacing w:after="100"/>
        <w:jc w:val="both"/>
      </w:pPr>
      <w:r>
        <w:rPr>
          <w:rFonts w:ascii="Times New Roman" w:cs="Times New Roman" w:eastAsia="Times New Roman" w:hAnsi="Times New Roman"/>
          <w:color w:val="1F2937"/>
          <w:sz w:val="22"/>
          <w:szCs w:val="22"/>
        </w:rPr>
        <w:t xml:space="preserve">Contexte : à la retraite, tu disposes de 80 000 € dans un PER (versements déduits). Deux options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Option A : Sortie en capital en une fois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Option B : Sortie en rente viagère estimée à 280 €/mois</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Quels sont les 2 principaux risques de l'option A (capital en une fois)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Quels sont les 2 avantages de la rente (option B) pour une personne avec un horizon de vie incertain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Dans quel cas la sortie fractionnée (capital versé sur 5 ans) pourrait-elle être préférable à ces deux options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 Quelle question poseriez-vous à un conseiller pour choisir entre les deux ?</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Risques du capital en une fois : (1) forte imposition IR l'année de la sortie (montant élevé soumis au barème progressif) ; (2) risque de dépense trop rapide du capital. b. Avantages de la rente : (1) revenu garanti à vie, indépendamment de la durée de vie ; (2) prévisibilité budgétaire. c. La sortie fractionnée permet d'étaler la charge fiscale (chaque tranche est imposée séparément) et de lisser les retraits selon les besoins réels. d. Question type : « Compte tenu de mon TMI à la retraite et de mon espérance de vie estimée, à partir de combien d'années la rente devient-elle plus avantageuse financièrement que le capital ? »</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Exercice 3 — Déduire ou ne pas déduire ?</w:t>
      </w:r>
    </w:p>
    <w:p>
      <w:pPr>
        <w:spacing w:after="100"/>
        <w:jc w:val="both"/>
      </w:pPr>
      <w:r>
        <w:rPr>
          <w:rFonts w:ascii="Times New Roman" w:cs="Times New Roman" w:eastAsia="Times New Roman" w:hAnsi="Times New Roman"/>
          <w:color w:val="1F2937"/>
          <w:sz w:val="22"/>
          <w:szCs w:val="22"/>
        </w:rPr>
        <w:t xml:space="preserve">Contexte : deux profils d'épargnants envisagent chacun de verser 2 000 €/an sur un PER.</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Profil A : TMI actuel 30 %, TMI prévisible à la retraite : 30 % (revenus fonciers importants)</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Profil B : TMI actuel 11 %, TMI prévisible à la retraite : 0 % ou 11 % (petite retraite)</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Pour le Profil A, quel est l'intérêt (ou non) de déduire les versements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Pour le Profil B, pourquoi la déduction est-elle peu avantageuse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Pour le Profil B, quelle option alternative permettrait une sortie fiscalement plus légère ?</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Pour le Profil A : la déduction est peu avantageuse car le TMI restera identique à la retraite → il y a un différé fiscal, mais pas de gain net réel (l'économie à l'entrée est compensée par l'imposition à la sortie). Cela peut même être défavorable si la sortie en capital est imposée sans abattement. b. Pour le Profil B : le gain immédiat à l'entrée est faible (11 % d'économie = 220 €/an). c. Pour le Profil B : opter pour des versements NON déduits → à la sortie, la part capital est exonérée d'IR et de PS ; seules les plus-values subissent le PFU de 31,4 %.</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Challenge — Exercice de synthèse</w:t>
      </w:r>
    </w:p>
    <w:p>
      <w:pPr>
        <w:spacing w:after="100"/>
        <w:jc w:val="both"/>
      </w:pPr>
      <w:r>
        <w:rPr>
          <w:rFonts w:ascii="Times New Roman" w:cs="Times New Roman" w:eastAsia="Times New Roman" w:hAnsi="Times New Roman"/>
          <w:color w:val="1F2937"/>
          <w:sz w:val="22"/>
          <w:szCs w:val="22"/>
        </w:rPr>
        <w:t xml:space="preserve">Situation complète : tu as 61 ans, TMI actuel 30 %, tu envisages de verser 4 000 €/an pendant 7 ans sur un PER individuel (versements déduits). À 68 ans, tu pars à la retraite avec un capital constitué estimé à 32 000 € (versements cumulés : 28 000 € + gains estimés : 4 000 €). À la retraite, ton TMI prévisible est de 11 %.</w:t>
      </w:r>
    </w:p>
    <w:p>
      <w:pPr>
        <w:spacing w:after="10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a. Économie fiscale totale réalisée pendant les 7 ans de versements (à TMI 30 %)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b. À la sortie, si tu optes pour le capital en une fois (versements déduits) : quelle est la base imposable au barème IR ? Quel est le taux applicable aux gains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c. Dans ce scénario (TMI 30 % pendant l'activité, 11 % à la retraite), la déduction est-elle avantageuse ? Pourquoi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d. Que changez-vous dans votre réflexion si le TMI à la retraite était finalement 30 % (revenus fonciers)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e. Citez deux questions que vous poseriez à un CGP avant de prendre une décision.</w:t>
      </w:r>
    </w:p>
    <w:p>
      <w:pPr>
        <w:spacing w:after="80"/>
      </w:pPr>
      <w:r>
        <w:t xml:space="preserve"/>
      </w:r>
    </w:p>
    <w:p>
      <w:pPr>
        <w:pBdr>
          <w:left w:val="thick" w:color="1B3A6B" w:sz="12"/>
        </w:pBdr>
        <w:shd w:fill="F3F4F6" w:color="auto" w:val="clear"/>
        <w:spacing w:after="120" w:before="100"/>
        <w:ind w:left="200" w:right="200"/>
      </w:pPr>
      <w:r>
        <w:rPr>
          <w:rFonts w:ascii="Times New Roman" w:cs="Times New Roman" w:eastAsia="Times New Roman" w:hAnsi="Times New Roman"/>
          <w:i w:val="false"/>
          <w:iCs w:val="false"/>
          <w:color w:val="1B3A6B"/>
          <w:sz w:val="22"/>
          <w:szCs w:val="22"/>
        </w:rPr>
        <w:t xml:space="preserve">Corrigé — a. Économie fiscale = 4 000 € × 30 % × 7 ans = 8 400 € d'économies cumulées. b. Base imposable au barème IR : 28 000 € (part capital correspondant aux versements déduits, imposée sans abattement). Gains 4 000 € : soumis au PFU 31,4 %. c. Dans ce scénario, l'avantage est réel : les versements ont bénéficié d'une déduction à 30 %, mais la sortie sera imposée à 11 % (barème IR, tranche basse). La différence représente un gain net de 19 points de TMI sur 28 000 €. d. Si le TMI reste à 30 % à la retraite : l'avantage est quasi nul sur la part capital (impôt différé, pas réduit). Il vaut la peine d'évaluer la sortie fractionnée ou une option non déductible. e. Questions à un CGP : « Quelle est mon TMI prévisible à la retraite compte tenu de tous mes revenus ? » et « Vaut-il mieux déduire maintenant ou opter pour des versements non déduits et une sortie allégée ? »</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Pont professionnel (optionnel)</w:t>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En tant que chef de service en ESSMS, tu peux côtoyer des personnes accompagnées sous mesure de protection (tutelle, curatelle). Le PER est un produit d'épargne retraite réglementé : sa souscription pour une personne sous tutelle requiert l'autorisation du juge des tutelles. Dans une logique de droits et d'autodétermination (RBPP HAS), il est utile de savoir que des dispositifs d'épargne existent pour les adultes protégés, même si leur mise en œuvre relève du mandataire judiciaire ou du tuteur légal.</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Ressources cliquables — Pour approfondir</w:t>
      </w:r>
    </w:p>
    <w:p>
      <w:pPr>
        <w:spacing w:after="100"/>
        <w:jc w:val="both"/>
      </w:pPr>
      <w:r>
        <w:rPr>
          <w:rFonts w:ascii="Times New Roman" w:cs="Times New Roman" w:eastAsia="Times New Roman" w:hAnsi="Times New Roman"/>
          <w:b/>
          <w:bCs/>
          <w:color w:val="1F2937"/>
          <w:sz w:val="22"/>
          <w:szCs w:val="22"/>
        </w:rPr>
        <w:t xml:space="preserve">1. </w:t>
      </w:r>
      <w:hyperlink w:history="1" r:id="rId66nkttbau-wjw_kchd1gt">
        <w:r>
          <w:rPr>
            <w:rFonts w:ascii="Times New Roman" w:cs="Times New Roman" w:eastAsia="Times New Roman" w:hAnsi="Times New Roman"/>
            <w:color w:val="1155CC"/>
            <w:sz w:val="22"/>
            <w:szCs w:val="22"/>
            <w:u w:val="single"/>
          </w:rPr>
          <w:t xml:space="preserve">Plan d'Épargne Retraite (PER) — Service-Public.fr</w:t>
        </w:r>
      </w:hyperlink>
      <w:r>
        <w:rPr>
          <w:rFonts w:ascii="Times New Roman" w:cs="Times New Roman" w:eastAsia="Times New Roman" w:hAnsi="Times New Roman"/>
          <w:color w:val="1F2937"/>
          <w:sz w:val="22"/>
          <w:szCs w:val="22"/>
        </w:rPr>
        <w:t xml:space="preserve"> — Conditions, versements, fiscalité à l'entrée et à la sortie, transfert. Source officielle (Premier ministre / Ministère des finances).</w:t>
      </w:r>
    </w:p>
    <w:p>
      <w:pPr>
        <w:spacing w:after="100"/>
        <w:jc w:val="both"/>
      </w:pPr>
      <w:r>
        <w:rPr>
          <w:rFonts w:ascii="Times New Roman" w:cs="Times New Roman" w:eastAsia="Times New Roman" w:hAnsi="Times New Roman"/>
          <w:b/>
          <w:bCs/>
          <w:color w:val="1F2937"/>
          <w:sz w:val="22"/>
          <w:szCs w:val="22"/>
        </w:rPr>
        <w:t xml:space="preserve">2. </w:t>
      </w:r>
      <w:hyperlink w:history="1" r:id="rIdsfgqnlqqthasur-tagemg">
        <w:r>
          <w:rPr>
            <w:rFonts w:ascii="Times New Roman" w:cs="Times New Roman" w:eastAsia="Times New Roman" w:hAnsi="Times New Roman"/>
            <w:color w:val="1155CC"/>
            <w:sz w:val="22"/>
            <w:szCs w:val="22"/>
            <w:u w:val="single"/>
          </w:rPr>
          <w:t xml:space="preserve">Fiscalité du PER — La Finance pour Tous</w:t>
        </w:r>
      </w:hyperlink>
      <w:r>
        <w:rPr>
          <w:rFonts w:ascii="Times New Roman" w:cs="Times New Roman" w:eastAsia="Times New Roman" w:hAnsi="Times New Roman"/>
          <w:color w:val="1F2937"/>
          <w:sz w:val="22"/>
          <w:szCs w:val="22"/>
        </w:rPr>
        <w:t xml:space="preserve"> — Déduction à l'entrée, imposition à la sortie (capital vs rente), stratégie fiscale. Source pédagogique et neutre (IEFP).</w:t>
      </w:r>
    </w:p>
    <w:p>
      <w:pPr>
        <w:spacing w:after="100"/>
        <w:jc w:val="both"/>
      </w:pPr>
      <w:r>
        <w:rPr>
          <w:rFonts w:ascii="Times New Roman" w:cs="Times New Roman" w:eastAsia="Times New Roman" w:hAnsi="Times New Roman"/>
          <w:b/>
          <w:bCs/>
          <w:color w:val="1F2937"/>
          <w:sz w:val="22"/>
          <w:szCs w:val="22"/>
        </w:rPr>
        <w:t xml:space="preserve">3. </w:t>
      </w:r>
      <w:hyperlink w:history="1" r:id="rIdk4lxmouqhj9ft-w-jdoow">
        <w:r>
          <w:rPr>
            <w:rFonts w:ascii="Times New Roman" w:cs="Times New Roman" w:eastAsia="Times New Roman" w:hAnsi="Times New Roman"/>
            <w:color w:val="1155CC"/>
            <w:sz w:val="22"/>
            <w:szCs w:val="22"/>
            <w:u w:val="single"/>
          </w:rPr>
          <w:t xml:space="preserve">Épargne retraite — Impots.gouv.fr</w:t>
        </w:r>
      </w:hyperlink>
      <w:r>
        <w:rPr>
          <w:rFonts w:ascii="Times New Roman" w:cs="Times New Roman" w:eastAsia="Times New Roman" w:hAnsi="Times New Roman"/>
          <w:color w:val="1F2937"/>
          <w:sz w:val="22"/>
          <w:szCs w:val="22"/>
        </w:rPr>
        <w:t xml:space="preserve"> — Plafonds de déduction 2026, règles d'imposition à la sortie, PFU. Source officielle DGFiP.</w:t>
      </w:r>
    </w:p>
    <w:p>
      <w:pPr>
        <w:spacing w:after="100"/>
        <w:jc w:val="both"/>
      </w:pPr>
      <w:r>
        <w:rPr>
          <w:rFonts w:ascii="Times New Roman" w:cs="Times New Roman" w:eastAsia="Times New Roman" w:hAnsi="Times New Roman"/>
          <w:b/>
          <w:bCs/>
          <w:color w:val="1F2937"/>
          <w:sz w:val="22"/>
          <w:szCs w:val="22"/>
        </w:rPr>
        <w:t xml:space="preserve">4. </w:t>
      </w:r>
      <w:hyperlink w:history="1" r:id="rIdtr_nhgf52ucfp3wgecqwn">
        <w:r>
          <w:rPr>
            <w:rFonts w:ascii="Times New Roman" w:cs="Times New Roman" w:eastAsia="Times New Roman" w:hAnsi="Times New Roman"/>
            <w:color w:val="1155CC"/>
            <w:sz w:val="22"/>
            <w:szCs w:val="22"/>
            <w:u w:val="single"/>
          </w:rPr>
          <w:t xml:space="preserve">Transfert des anciens contrats vers le PER — La Finance pour Tous</w:t>
        </w:r>
      </w:hyperlink>
      <w:r>
        <w:rPr>
          <w:rFonts w:ascii="Times New Roman" w:cs="Times New Roman" w:eastAsia="Times New Roman" w:hAnsi="Times New Roman"/>
          <w:color w:val="1F2937"/>
          <w:sz w:val="22"/>
          <w:szCs w:val="22"/>
        </w:rPr>
        <w:t xml:space="preserve"> — Conditions de transfert, frais, avantages de la bascule depuis PERP/Madelin.</w:t>
      </w:r>
    </w:p>
    <w:p>
      <w:pPr>
        <w:spacing w:after="100"/>
        <w:jc w:val="both"/>
      </w:pPr>
      <w:r>
        <w:rPr>
          <w:rFonts w:ascii="Times New Roman" w:cs="Times New Roman" w:eastAsia="Times New Roman" w:hAnsi="Times New Roman"/>
          <w:b/>
          <w:bCs/>
          <w:color w:val="1F2937"/>
          <w:sz w:val="22"/>
          <w:szCs w:val="22"/>
        </w:rPr>
        <w:t xml:space="preserve">5. </w:t>
      </w:r>
      <w:hyperlink w:history="1" r:id="rIdw56ioaeqc8hn-63radxxt">
        <w:r>
          <w:rPr>
            <w:rFonts w:ascii="Times New Roman" w:cs="Times New Roman" w:eastAsia="Times New Roman" w:hAnsi="Times New Roman"/>
            <w:color w:val="1155CC"/>
            <w:sz w:val="22"/>
            <w:szCs w:val="22"/>
            <w:u w:val="single"/>
          </w:rPr>
          <w:t xml:space="preserve">Questions-réponses PER pour les épargnants — Direction générale du Trésor</w:t>
        </w:r>
      </w:hyperlink>
      <w:r>
        <w:rPr>
          <w:rFonts w:ascii="Times New Roman" w:cs="Times New Roman" w:eastAsia="Times New Roman" w:hAnsi="Times New Roman"/>
          <w:color w:val="1F2937"/>
          <w:sz w:val="22"/>
          <w:szCs w:val="22"/>
        </w:rPr>
        <w:t xml:space="preserve"> — Q/R officiel sur le PER issu de la loi PACTE.</w:t>
      </w:r>
    </w:p>
    <w:p>
      <w:pPr>
        <w:spacing w:after="80"/>
      </w:pPr>
      <w:r>
        <w:t xml:space="preserve"/>
      </w:r>
    </w:p>
    <w:p>
      <w:pPr>
        <w:spacing w:after="100"/>
        <w:jc w:val="both"/>
      </w:pPr>
      <w:r>
        <w:rPr>
          <w:rFonts w:ascii="Times New Roman" w:cs="Times New Roman" w:eastAsia="Times New Roman" w:hAnsi="Times New Roman"/>
          <w:color w:val="1F2937"/>
          <w:sz w:val="22"/>
          <w:szCs w:val="22"/>
        </w:rPr>
        <w:t xml:space="preserve">⛔ Sources inaccessibles lors de cette exécution : abe-infoservice.fr (403), economie.gouv.fr/particuliers (403), amf-france.org/espace-epargnants (404).</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Pour aller plus loin avec un professionnel agréé</w:t>
      </w:r>
    </w:p>
    <w:p>
      <w:pPr>
        <w:spacing w:after="100"/>
        <w:jc w:val="both"/>
      </w:pPr>
      <w:r>
        <w:rPr>
          <w:rFonts w:ascii="Times New Roman" w:cs="Times New Roman" w:eastAsia="Times New Roman" w:hAnsi="Times New Roman"/>
          <w:color w:val="1F2937"/>
          <w:sz w:val="22"/>
          <w:szCs w:val="22"/>
        </w:rPr>
        <w:t xml:space="preserve">Questions concrètes à poser à un conseiller en gestion de patrimoine (CGP) ou un CIF agréé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1. « Compte tenu de mes revenus actuels et prévisionnels à la retraite, quel est mon TMI aujourd'hui et quel sera-t-il à la liquidation ? La déduction à l'entrée est-elle réellement avantageuse pour moi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2. « Vaut-il mieux opter pour une sortie en capital (fractionnée ou en une fois), une rente, ou un mixte — en tenant compte de ma situation patrimoniale globale et de mon espérance de vie ? »</w:t>
      </w:r>
    </w:p>
    <w:p>
      <w:pPr>
        <w:pStyle w:val="ListParagraph"/>
        <w:numPr>
          <w:ilvl w:val="0"/>
          <w:numId w:val="1"/>
        </w:numPr>
        <w:spacing w:after="60"/>
        <w:ind w:left="360"/>
      </w:pPr>
      <w:r>
        <w:rPr>
          <w:rFonts w:ascii="Times New Roman" w:cs="Times New Roman" w:eastAsia="Times New Roman" w:hAnsi="Times New Roman"/>
          <w:color w:val="1F2937"/>
          <w:sz w:val="22"/>
          <w:szCs w:val="22"/>
        </w:rPr>
        <w:t xml:space="preserve">3. « Dois-je envisager un transfert de mes anciens produits (PERP ou assurance-vie excédentaire) vers un PER, et dans quel délai pour optimiser la déduction sur mes années d'activité restantes ? »</w:t>
      </w:r>
    </w:p>
    <w:p>
      <w:pPr>
        <w:spacing w:after="80"/>
      </w:pPr>
      <w:r>
        <w:t xml:space="preserve"/>
      </w:r>
    </w:p>
    <w:p>
      <w:pPr>
        <w:pBdr>
          <w:bottom w:val="single" w:color="1B3A6B" w:sz="6"/>
        </w:pBdr>
        <w:spacing w:after="120" w:before="300"/>
      </w:pPr>
      <w:r>
        <w:rPr>
          <w:rFonts w:ascii="Times New Roman" w:cs="Times New Roman" w:eastAsia="Times New Roman" w:hAnsi="Times New Roman"/>
          <w:b/>
          <w:bCs/>
          <w:color w:val="1B3A6B"/>
          <w:sz w:val="30"/>
          <w:szCs w:val="30"/>
        </w:rPr>
        <w:t xml:space="preserve">🔜 Prochaine leçon — n°08</w:t>
      </w:r>
    </w:p>
    <w:p>
      <w:pPr>
        <w:pBdr>
          <w:left w:val="thick" w:color="1B3A6B" w:sz="12"/>
        </w:pBdr>
        <w:shd w:fill="F3F4F6" w:color="auto" w:val="clear"/>
        <w:spacing w:after="120" w:before="100"/>
        <w:ind w:left="200" w:right="200"/>
      </w:pPr>
      <w:r>
        <w:rPr>
          <w:rFonts w:ascii="Times New Roman" w:cs="Times New Roman" w:eastAsia="Times New Roman" w:hAnsi="Times New Roman"/>
          <w:i/>
          <w:iCs/>
          <w:color w:val="1B3A6B"/>
          <w:sz w:val="22"/>
          <w:szCs w:val="22"/>
        </w:rPr>
        <w:t xml:space="preserve">Leçon 08 : Immobilier et « pierre-papier » (SCPI) — Principes, liquidité, frais et risques
Tu découvriras comment investir dans l'immobilier sans gérer un bien en direct, via les Sociétés Civiles de Placement Immobilier (SCPI). Nous analyserons les rendements historiques, les frais (souvent élevés), la liquidité (souvent limitée) et les risques spécifiques à ce support, ainsi que sa place dans une allocation à horizon 7-8 ans.</w:t>
      </w:r>
    </w:p>
    <w:p>
      <w:pPr>
        <w:spacing w:after="80"/>
      </w:pPr>
      <w:r>
        <w:t xml:space="preserve"/>
      </w:r>
    </w:p>
    <w:p>
      <w:pPr>
        <w:spacing w:after="100"/>
        <w:jc w:val="center"/>
      </w:pPr>
      <w:r>
        <w:rPr>
          <w:rFonts w:ascii="Times New Roman" w:cs="Times New Roman" w:eastAsia="Times New Roman" w:hAnsi="Times New Roman"/>
          <w:color w:val="1B3A6B"/>
          <w:sz w:val="22"/>
          <w:szCs w:val="22"/>
        </w:rPr>
        <w:t xml:space="preserve">─────────────────────────────────────────────────────</w:t>
      </w:r>
    </w:p>
    <w:p>
      <w:pPr>
        <w:spacing w:after="100"/>
        <w:jc w:val="center"/>
      </w:pPr>
      <w:r>
        <w:rPr>
          <w:rFonts w:ascii="Times New Roman" w:cs="Times New Roman" w:eastAsia="Times New Roman" w:hAnsi="Times New Roman"/>
          <w:i/>
          <w:iCs/>
          <w:color w:val="1F2937"/>
          <w:sz w:val="22"/>
          <w:szCs w:val="22"/>
        </w:rPr>
        <w:t xml:space="preserve">Leçon Placement financier n°07 · 25 juillet 2026 · Éducation financière personnelle — Sans valeur de conseil en investissement · Risque de perte en capital sur les UC</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6nkttbau-wjw_kchd1gt" Type="http://schemas.openxmlformats.org/officeDocument/2006/relationships/hyperlink" Target="https://www.service-public.gouv.fr/particuliers/vosdroits/F34982" TargetMode="External"/><Relationship Id="rIdsfgqnlqqthasur-tagemg" Type="http://schemas.openxmlformats.org/officeDocument/2006/relationships/hyperlink" Target="https://www.lafinancepourtous.com/pratique/impots/fiscalite-de-l-epargne-2/fiscalite-du-plan-depargne-retraite-per/" TargetMode="External"/><Relationship Id="rIdk4lxmouqhj9ft-w-jdoow" Type="http://schemas.openxmlformats.org/officeDocument/2006/relationships/hyperlink" Target="https://www.impots.gouv.fr/particulier/epargne-retraite" TargetMode="External"/><Relationship Id="rIdtr_nhgf52ucfp3wgecqwn" Type="http://schemas.openxmlformats.org/officeDocument/2006/relationships/hyperlink" Target="https://www.lafinancepourtous.com/pratique/retraite/epargne-retraite/le-plan-depargne-retraite/per-le-transfert-des-anciens-contrats/" TargetMode="External"/><Relationship Id="rIdw56ioaeqc8hn-63radxxt" Type="http://schemas.openxmlformats.org/officeDocument/2006/relationships/hyperlink" Target="https://www.tresor.economie.gouv.fr/banque-assurance-finance/les-mesures-de-la-loi-pacte-pour-le-financement-de-l-economie/questions-reponses-le-nouveau-per-pour-les-epargnan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2026-07-25T06:08:12.950Z</dcterms:created>
  <dcterms:modified xsi:type="dcterms:W3CDTF">2026-07-25T06:08:13.429Z</dcterms:modified>
</cp:coreProperties>
</file>

<file path=docProps/custom.xml><?xml version="1.0" encoding="utf-8"?>
<Properties xmlns="http://schemas.openxmlformats.org/officeDocument/2006/custom-properties" xmlns:vt="http://schemas.openxmlformats.org/officeDocument/2006/docPropsVTypes"/>
</file>