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AI Act — Compte-rendu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74151"/>
          <w:sz w:val="32"/>
          <w:szCs w:val="32"/>
        </w:rPr>
        <w:t xml:space="preserve">2 octobre 2026</w:t>
      </w:r>
    </w:p>
    <w:p>
      <w:pPr>
        <w:pBdr>
          <w:top w:color="22C55E" w:sz="6"/>
          <w:bottom w:color="22C55E" w:sz="6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16A34A"/>
          <w:sz w:val="26"/>
          <w:szCs w:val="26"/>
        </w:rPr>
        <w:t xml:space="preserve">🟢 NIVEAU D'ALERTE : SEMAINE CREUSE — AUCUNE NOUVEAUTÉ AI ACT DANS LA FENÊTRE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Fenêtre couverte : 25 septembre 2026 → 2 octobre 2026 (J-7 à J)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8 sources documentaires tentées — 2 exploitées (✅), 3 consultées sans élément nouveau, 2 bloquées (⛔), 1 partielle (⚠️)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Faits marquants identifiés dans la fenêtre : 0</w:t>
      </w:r>
    </w:p>
    <w:p>
      <w:pPr>
        <w:spacing w:after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Aucune nouveauté significative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Aucune nouveauté significative depuis le CR du 25 septembre 2026.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Les 9 sources consultées le 2 octobre 2026 n'ont produit aucun article ou annonce officielle datable dans la fenêtre 25/09–02/10/2026 sur le périmètre AI Act. La page digital-strategy.ec.europa.eu a publié 3 actualités dans la fenêtre (01/10, 30/09, 29/09) mais elles portent respectivement sur : le lancement de l'EDIC pour l'agri-food, l'Eurobaromètre sur les cybermenaces au travail, et une consultation de la Commission sur l'impact des technologies sur le droit d'auteur — hors périmètre direct de l'AI Act. Note complémentaire : Stephenson Harwood (Neural Network, 24/09/2026, hors fenêtre) couvre les obligations de transparence LLM et une décision de l'autorité italienne sur les deepfakes — non inclus dans la liste des sources, article antérieur à la fenêtre.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Référence : règlement (UE) 2024/1689 tel que modifié par le règlement (UE) 2026/1744 du 8 juillet 2026 (« Omnibus IA »), publié au JOUE le 24 juillet 2026, en vigueur le 27 juillet 2026. EUR-Lex inaccessible lors de cette exécution (HTTP 202) — référence héritée de l'édition du 29/08/2026 ; </w:t>
      </w:r>
    </w:p>
    <w:p>
      <w:pPr>
        <w:spacing w:after="80"/>
      </w:pPr>
      <w:hyperlink w:history="1" r:id="rIdmcjxjflgtqe0y-b7o6lrc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EUR-Lex — recherche reg 2026/1744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(⚠️ HTTP 202 lors du test du 02/10/2026).</w:t>
      </w:r>
    </w:p>
    <w:p>
      <w:pPr>
        <w:spacing w:after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Échéances réglementaires à venir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Source : AI Act Service Desk — calendrier d'implémentation — vérifié le 02/10/2026, aucune modification constatée.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2 août 2026 (PASSÉ) — Entrée en application principale : obligations de transparence (art. 50), littératie IA (art. 4, allégée par l'Omnibus), sanctions actives. Régime : jusqu'à 35 M€ ou 7 % du CA mondial pour pratiques interdites ; jusqu'à 15 M€ ou 3 % pour transparence et GPAI.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décembre 2026 — J-61 : (1) Fin de la période transitoire art. 50 §2 pour les systèmes génératifs mis sur le marché avant le 2 août 2026 ; (2) Entrée en vigueur de l'interdiction des hypertrucages sexuels non consentis et du CSAM (ajouts de l'Omnibus 2026/1744).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août 2027 — Obligation pour les États membres d'avoir mis en place des bacs à sable réglementaires opérationnels.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décembre 2027 — Application des exigences pour les systèmes à haut risque de l'annexe III (dont systèmes d'aide à la décision en contexte de services essentiels — pertinent pour les ESSMS).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août 2028 — Application des règles pour les produits réglementés embarquant de l'IA (annexe I).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Note institutionnelle — Désignation des autorités françaises (DDADUE) : les URLs testées sur assemblee-nationale.fr et senat.fr n'ont pas retourné de contenu exploitable lors de cette exécution (pages vides ou 404). Non vérifié à une source primaire directe pendant cette exécution — repris du cadrage du job (30/08/2026) et de la note CNIL Q/R (17/08/2026) : les autorités françaises compétentes pour l'AI Act n'étaient pas encore officiellement désignées à cette date. Cette absence ne suspend aucune obligation ; l'interlocuteur de fait d'un ESSMS reste la CNIL via son DPO.</w:t>
      </w:r>
    </w:p>
    <w:p>
      <w:pPr>
        <w:spacing w:after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hnicvmnz615mepphyx2q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AI Act Service Desk — calendrier d'implémentation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calendrier vérifié le 02/10/2026, aucune modification constatée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vs6jyznnytnz899nkbs6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Q/R sur le règlement européen IA (mise à jour 17/08/2026)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lue le 02/10/2026, tableau d'articulation RIA/RGPD et note sur désignation autorités françaises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Consultée, sans élément nouveau : </w:t>
      </w:r>
      <w:hyperlink w:history="1" r:id="rIdxr4_7qvv6lfhpsneg0zy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digital-strategy.ec.europa.eu — Cadre réglementaire IA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3 articles dans la fenêtre mais hors périmètre AI Act (01/10, 30/09, 29/09)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Consultée, sans élément nouveau : </w:t>
      </w:r>
      <w:hyperlink w:history="1" r:id="rIdgzl0njwuxjl2akzjiygr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artificialintelligenceact.eu (Future of Life Institute)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lue via agent (255 638 caractères de texte utile), dernier article = 7 août 2026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Consultée, sans élément nouveau : </w:t>
      </w:r>
      <w:hyperlink w:history="1" r:id="rIdvzjcne9kh5e3brtpvscs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cnil.fr — intelligence artificielle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dernier article = 26 août 2026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</w:t>
      </w:r>
      <w:hyperlink w:history="1" r:id="rIdn-a2qkkx3s9jumgzkxwl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consilium.europa.eu — communiqués de presse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HTTP 403 (blocage anti-robot), inaccessible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</w:t>
      </w:r>
      <w:hyperlink w:history="1" r:id="rIdhuuopwhhzszftti0sr7i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iapp.org/news/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SPA JavaScript côté client, contenu éditorial non extractible en headless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</w:t>
      </w:r>
      <w:hyperlink w:history="1" r:id="rIdalyqlyxw2qt_dkmajwwc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EUR-Lex — règlement (UE) 2026/1744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HTTP 202, contenu non lu ; référence héritée de l'édition du 29/08/2026</w:t>
      </w:r>
    </w:p>
    <w:p>
      <w:pPr>
        <w:spacing w:after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décembre 2026 (J-61) — Fin de la période transitoire art. 50 §2 pour les systèmes génératifs mis sur le marché avant le 2 août 2026 ; entrée en vigueur de l'interdiction des hypertrucages sexuels non consentis et du CSAM.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Suite du DDADUE à l'Assemblée nationale — adoption du volet numérique nécessaire pour officialiser la désignation des autorités françaises compétentes pour l'IA. Non vérifié à une source primaire directe lors de cette exécution.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Guidelines art. 4 (littératie IA) — les nouvelles références extérieures introduites par l'Omnibus 2026/1744 restent à préciser par les autorités compétentes ; critiques pour les ESSMS.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Mise en œuvre nationale dans les États membres — publications des premières lignes directrices nationales et modalités de contrôle dans les pays avancés (Italie, Espagne).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Risque IA agentique — suites de l'incident australien (cas Medicare Statistics Reporting Service, 18/06/2026, rapporté le 24/09/2026) : enquête en cours, discussions ONU.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cjxjflgtqe0y-b7o6lrc" Type="http://schemas.openxmlformats.org/officeDocument/2006/relationships/hyperlink" Target="https://eur-lex.europa.eu/search.html?text=2026%2F1744&amp;scope=EURLEX&amp;type=quick&amp;lang=fr" TargetMode="External"/><Relationship Id="rIdhnicvmnz615mepphyx2q_" Type="http://schemas.openxmlformats.org/officeDocument/2006/relationships/hyperlink" Target="https://ai-act-service-desk.ec.europa.eu/en/ai-act/timeline/timeline-implementation-eu-ai-act" TargetMode="External"/><Relationship Id="rIdvs6jyznnytnz899nkbs6g" Type="http://schemas.openxmlformats.org/officeDocument/2006/relationships/hyperlink" Target="https://www.cnil.fr/fr/entree-en-vigueur-du-reglement-europeen-sur-lia-les-premieres-questions-reponses-de-la-cnil" TargetMode="External"/><Relationship Id="rIdxr4_7qvv6lfhpsneg0zyn" Type="http://schemas.openxmlformats.org/officeDocument/2006/relationships/hyperlink" Target="https://digital-strategy.ec.europa.eu/en/policies/regulatory-framework-ai" TargetMode="External"/><Relationship Id="rIdgzl0njwuxjl2akzjiygrr" Type="http://schemas.openxmlformats.org/officeDocument/2006/relationships/hyperlink" Target="https://artificialintelligenceact.eu" TargetMode="External"/><Relationship Id="rIdvzjcne9kh5e3brtpvscso" Type="http://schemas.openxmlformats.org/officeDocument/2006/relationships/hyperlink" Target="https://www.cnil.fr/fr/intelligence-artificielle" TargetMode="External"/><Relationship Id="rIdn-a2qkkx3s9jumgzkxwlr" Type="http://schemas.openxmlformats.org/officeDocument/2006/relationships/hyperlink" Target="https://www.consilium.europa.eu/en/press/press-releases/" TargetMode="External"/><Relationship Id="rIdhuuopwhhzszftti0sr7ii" Type="http://schemas.openxmlformats.org/officeDocument/2006/relationships/hyperlink" Target="https://iapp.org/news/" TargetMode="External"/><Relationship Id="rIdalyqlyxw2qt_dkmajwwcf" Type="http://schemas.openxmlformats.org/officeDocument/2006/relationships/hyperlink" Target="https://eur-lex.europa.eu/search.html?text=2026%2F1744&amp;scope=EURLEX&amp;type=quick&amp;lang=fr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2026-10-02T07:12:48.867Z</dcterms:created>
  <dcterms:modified xsi:type="dcterms:W3CDTF">2026-10-02T07:12:48.917Z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