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B3A6B"/>
          <w:sz w:val="36"/>
          <w:szCs w:val="36"/>
        </w:rPr>
        <w:t xml:space="preserve">Note de contrôle des livrables</w:t>
      </w:r>
    </w:p>
    <w:p>
      <w:pPr>
        <w:spacing w:after="200"/>
        <w:jc w:val="center"/>
      </w:pPr>
      <w:r>
        <w:rPr>
          <w:b/>
          <w:bCs/>
          <w:color w:val="1B3A6B"/>
          <w:sz w:val="36"/>
          <w:szCs w:val="36"/>
        </w:rPr>
        <w:t xml:space="preserve">Semaine du 20/09/2026 au 27/09/2026</w:t>
      </w:r>
    </w:p>
    <w:p>
      <w:pPr>
        <w:spacing w:after="80"/>
      </w:pPr>
      <w:r>
        <w:rPr>
          <w:b/>
          <w:bCs/>
          <w:color w:val="1F2937"/>
          <w:sz w:val="22"/>
          <w:szCs w:val="22"/>
        </w:rPr>
        <w:t xml:space="preserve">Date de production : 27/09/2026 — Heure de lancement des contrôles : 11:13 CEST</w:t>
      </w:r>
    </w:p>
    <w:p>
      <w:pPr>
        <w:spacing w:after="80"/>
      </w:pPr>
      <w:r>
        <w:rPr>
          <w:color w:val="1F2937"/>
          <w:sz w:val="22"/>
          <w:szCs w:val="22"/>
        </w:rPr>
        <w:t xml:space="preserve"/>
      </w:r>
    </w:p>
    <w:p>
      <w:pPr>
        <w:spacing w:after="120" w:before="300"/>
      </w:pPr>
      <w:r>
        <w:rPr>
          <w:b/>
          <w:bCs/>
          <w:color w:val="1B3A6B"/>
          <w:sz w:val="28"/>
          <w:szCs w:val="28"/>
        </w:rPr>
        <w:t xml:space="preserve">Portée et limites</w:t>
      </w:r>
    </w:p>
    <w:p>
      <w:pPr>
        <w:spacing w:after="80"/>
      </w:pPr>
      <w:r>
        <w:rPr>
          <w:color w:val="1F2937"/>
          <w:sz w:val="22"/>
          <w:szCs w:val="22"/>
        </w:rPr>
        <w:t xml:space="preserve">Ce contrôle est MECANIQUE ET EXTERNE : liens, chiffres, décomptes, cohérence des attributions. Il n'évalue PAS la qualité éditoriale, pédagogique ou le style. Le contrôleur est le même type de modèle que le producteur — son jugement sur la qualité rédactionnelle a peu de valeur. Aucun livrable n'a été modifié.</w:t>
      </w:r>
    </w:p>
    <w:p>
      <w:pPr>
        <w:spacing w:after="80"/>
      </w:pPr>
      <w:r>
        <w:rPr>
          <w:color w:val="1F2937"/>
          <w:sz w:val="22"/>
          <w:szCs w:val="22"/>
        </w:rPr>
        <w:t xml:space="preserve"/>
      </w:r>
    </w:p>
    <w:p>
      <w:pPr>
        <w:spacing w:after="120" w:before="300"/>
      </w:pPr>
      <w:r>
        <w:rPr>
          <w:b/>
          <w:bCs/>
          <w:color w:val="1B3A6B"/>
          <w:sz w:val="28"/>
          <w:szCs w:val="28"/>
        </w:rPr>
        <w:t xml:space="preserve">Périmètre — sortie complète de find</w:t>
      </w:r>
    </w:p>
    <w:p>
      <w:pPr>
        <w:spacing w:after="80"/>
      </w:pPr>
      <w:r>
        <w:rPr>
          <w:b/>
          <w:bCs/>
          <w:color w:val="1F2937"/>
          <w:sz w:val="22"/>
          <w:szCs w:val="22"/>
        </w:rPr>
        <w:t xml:space="preserve">Commande find exécutée le 27/09/2026 à 11:13 — 55 fichiers retournés (mtime -7). Chaque fichier est listé ci-dessous, nom complet. Parmi eux, 42 portent une date dans leur nom antérieure au 21/09/2026 ; leur mtime récent est dû à la synchronisation kDrive (non nouvelles productions de la semaine). Ces 42 sont listés dans la section B. Les 13 productions de la semaine (date nom &gt;= 21/09) sont listés dans la section A et ont fait l'objet du contrôle complet.</w:t>
      </w:r>
    </w:p>
    <w:p>
      <w:pPr>
        <w:spacing w:after="80"/>
      </w:pPr>
      <w:r>
        <w:rPr>
          <w:color w:val="1F2937"/>
          <w:sz w:val="22"/>
          <w:szCs w:val="22"/>
        </w:rPr>
        <w:t xml:space="preserve"/>
      </w:r>
    </w:p>
    <w:p>
      <w:pPr>
        <w:spacing w:after="80"/>
      </w:pPr>
      <w:r>
        <w:rPr>
          <w:b/>
          <w:bCs/>
          <w:color w:val="1F2937"/>
          <w:sz w:val="22"/>
          <w:szCs w:val="22"/>
        </w:rPr>
        <w:t xml:space="preserve">A — 13 productions de la semaine (date nom &gt;= 21/09/2026) — CONTROLEES :</w:t>
      </w:r>
    </w:p>
    <w:p>
      <w:pPr>
        <w:spacing w:after="60"/>
        <w:ind w:left="360"/>
      </w:pPr>
      <w:r>
        <w:rPr>
          <w:color w:val="1F2937"/>
          <w:sz w:val="22"/>
          <w:szCs w:val="22"/>
        </w:rPr>
        <w:t xml:space="preserve">• 2026-09-27_lecon-revenus-passifs_10_esperance-de-vie-modeles.docx</w:t>
      </w:r>
    </w:p>
    <w:p>
      <w:pPr>
        <w:spacing w:after="60"/>
        <w:ind w:left="360"/>
      </w:pPr>
      <w:r>
        <w:rPr>
          <w:color w:val="1F2937"/>
          <w:sz w:val="22"/>
          <w:szCs w:val="22"/>
        </w:rPr>
        <w:t xml:space="preserve">• 2026-09-27_veille_imac.docx</w:t>
      </w:r>
    </w:p>
    <w:p>
      <w:pPr>
        <w:spacing w:after="60"/>
        <w:ind w:left="360"/>
      </w:pPr>
      <w:r>
        <w:rPr>
          <w:color w:val="1F2937"/>
          <w:sz w:val="22"/>
          <w:szCs w:val="22"/>
        </w:rPr>
        <w:t xml:space="preserve">• 2026-09-26_lecon-appli-ia_10_securite-donnees.docx</w:t>
      </w:r>
    </w:p>
    <w:p>
      <w:pPr>
        <w:spacing w:after="60"/>
        <w:ind w:left="360"/>
      </w:pPr>
      <w:r>
        <w:rPr>
          <w:color w:val="1F2937"/>
          <w:sz w:val="22"/>
          <w:szCs w:val="22"/>
        </w:rPr>
        <w:t xml:space="preserve">• 2026-09-26_lecon-placement-financier_16_transmission-succession-demembrement.docx</w:t>
      </w:r>
    </w:p>
    <w:p>
      <w:pPr>
        <w:spacing w:after="60"/>
        <w:ind w:left="360"/>
      </w:pPr>
      <w:r>
        <w:rPr>
          <w:color w:val="1F2937"/>
          <w:sz w:val="22"/>
          <w:szCs w:val="22"/>
        </w:rPr>
        <w:t xml:space="preserve">• 2026-09-25_veille_ai-act.docx</w:t>
      </w:r>
    </w:p>
    <w:p>
      <w:pPr>
        <w:spacing w:after="60"/>
        <w:ind w:left="360"/>
      </w:pPr>
      <w:r>
        <w:rPr>
          <w:color w:val="1F2937"/>
          <w:sz w:val="22"/>
          <w:szCs w:val="22"/>
        </w:rPr>
        <w:t xml:space="preserve">• 2026-09-25_lecon-appli-ia_09_qualite-tests-debogage.docx</w:t>
      </w:r>
    </w:p>
    <w:p>
      <w:pPr>
        <w:spacing w:after="60"/>
        <w:ind w:left="360"/>
      </w:pPr>
      <w:r>
        <w:rPr>
          <w:color w:val="1F2937"/>
          <w:sz w:val="22"/>
          <w:szCs w:val="22"/>
        </w:rPr>
        <w:t xml:space="preserve">• 2026-09-24_lecon-astrologie-karmique_08_retrogradations-mouvement-apparent-lecture.docx</w:t>
      </w:r>
    </w:p>
    <w:p>
      <w:pPr>
        <w:spacing w:after="60"/>
        <w:ind w:left="360"/>
      </w:pPr>
      <w:r>
        <w:rPr>
          <w:color w:val="1F2937"/>
          <w:sz w:val="22"/>
          <w:szCs w:val="22"/>
        </w:rPr>
        <w:t xml:space="preserve">• 2026-09-24_lecon-stoicisme_16_exercices-spirituels-hadot.docx</w:t>
      </w:r>
    </w:p>
    <w:p>
      <w:pPr>
        <w:spacing w:after="60"/>
        <w:ind w:left="360"/>
      </w:pPr>
      <w:r>
        <w:rPr>
          <w:color w:val="1F2937"/>
          <w:sz w:val="22"/>
          <w:szCs w:val="22"/>
        </w:rPr>
        <w:t xml:space="preserve">• 2026-09-23_lecon-enneagramme_17_relations-couple-famille-conflits.docx</w:t>
      </w:r>
    </w:p>
    <w:p>
      <w:pPr>
        <w:spacing w:after="60"/>
        <w:ind w:left="360"/>
      </w:pPr>
      <w:r>
        <w:rPr>
          <w:color w:val="1F2937"/>
          <w:sz w:val="22"/>
          <w:szCs w:val="22"/>
        </w:rPr>
        <w:t xml:space="preserve">• 2026-09-23_veille_SERAFIN-PH.docx</w:t>
      </w:r>
    </w:p>
    <w:p>
      <w:pPr>
        <w:spacing w:after="60"/>
        <w:ind w:left="360"/>
      </w:pPr>
      <w:r>
        <w:rPr>
          <w:color w:val="1F2937"/>
          <w:sz w:val="22"/>
          <w:szCs w:val="22"/>
        </w:rPr>
        <w:t xml:space="preserve">• 2026-09-22_lecon-hypnose_15_hypnose-troubles-sommeil.docx</w:t>
      </w:r>
    </w:p>
    <w:p>
      <w:pPr>
        <w:spacing w:after="60"/>
        <w:ind w:left="360"/>
      </w:pPr>
      <w:r>
        <w:rPr>
          <w:color w:val="1F2937"/>
          <w:sz w:val="22"/>
          <w:szCs w:val="22"/>
        </w:rPr>
        <w:t xml:space="preserve">• 2026-09-22_lecon-dzogchen_17_dzogchen-mahamudra-convergences-differences-debats.docx</w:t>
      </w:r>
    </w:p>
    <w:p>
      <w:pPr>
        <w:spacing w:after="60"/>
        <w:ind w:left="360"/>
      </w:pPr>
      <w:r>
        <w:rPr>
          <w:color w:val="1F2937"/>
          <w:sz w:val="22"/>
          <w:szCs w:val="22"/>
        </w:rPr>
        <w:t xml:space="preserve">• 2026-09-21_lecon-psychopathologie_17_psychotropes-classes-effets-surveillance.docx</w:t>
      </w:r>
    </w:p>
    <w:p>
      <w:pPr>
        <w:spacing w:after="80"/>
      </w:pPr>
      <w:r>
        <w:rPr>
          <w:color w:val="1F2937"/>
          <w:sz w:val="22"/>
          <w:szCs w:val="22"/>
        </w:rPr>
        <w:t xml:space="preserve"/>
      </w:r>
    </w:p>
    <w:p>
      <w:pPr>
        <w:spacing w:after="80"/>
      </w:pPr>
      <w:r>
        <w:rPr>
          <w:b/>
          <w:bCs/>
          <w:color w:val="1F2937"/>
          <w:sz w:val="22"/>
          <w:szCs w:val="22"/>
        </w:rPr>
        <w:t xml:space="preserve">B — 42 fichiers avec mtime -7 mais date nom &lt; 21/09/2026 (mtime mis à jour par sync kDrive — non nouvelles productions, recontrolés lors de semaines précédentes) :</w:t>
      </w:r>
    </w:p>
    <w:p>
      <w:pPr>
        <w:spacing w:after="60"/>
        <w:ind w:left="360"/>
      </w:pPr>
      <w:r>
        <w:rPr>
          <w:color w:val="1F2937"/>
          <w:sz w:val="22"/>
          <w:szCs w:val="22"/>
        </w:rPr>
        <w:t xml:space="preserve">• 2026-06-13_lecon-placement-financier_01_fondations-objectif-horizon-risque.docx</w:t>
      </w:r>
    </w:p>
    <w:p>
      <w:pPr>
        <w:spacing w:after="60"/>
        <w:ind w:left="360"/>
      </w:pPr>
      <w:r>
        <w:rPr>
          <w:color w:val="1F2937"/>
          <w:sz w:val="22"/>
          <w:szCs w:val="22"/>
        </w:rPr>
        <w:t xml:space="preserve">• 2026-06-20_lecon-placement-financier_02_rendement-risque-diversification.docx</w:t>
      </w:r>
    </w:p>
    <w:p>
      <w:pPr>
        <w:spacing w:after="60"/>
        <w:ind w:left="360"/>
      </w:pPr>
      <w:r>
        <w:rPr>
          <w:color w:val="1F2937"/>
          <w:sz w:val="22"/>
          <w:szCs w:val="22"/>
        </w:rPr>
        <w:t xml:space="preserve">• 2026-06-27_lecon-placement-financier_03_classes-actifs-comportement.docx</w:t>
      </w:r>
    </w:p>
    <w:p>
      <w:pPr>
        <w:spacing w:after="60"/>
        <w:ind w:left="360"/>
      </w:pPr>
      <w:r>
        <w:rPr>
          <w:color w:val="1F2937"/>
          <w:sz w:val="22"/>
          <w:szCs w:val="22"/>
        </w:rPr>
        <w:t xml:space="preserve">• 2026-07-04_lecon-placement-financier_04_interets-composes-inflation-rendement-reel.docx</w:t>
      </w:r>
    </w:p>
    <w:p>
      <w:pPr>
        <w:spacing w:after="60"/>
        <w:ind w:left="360"/>
      </w:pPr>
      <w:r>
        <w:rPr>
          <w:color w:val="1F2937"/>
          <w:sz w:val="22"/>
          <w:szCs w:val="22"/>
        </w:rPr>
        <w:t xml:space="preserve">• 2026-07-11_lecon-placement-financier_05_enveloppes-francaises.docx</w:t>
      </w:r>
    </w:p>
    <w:p>
      <w:pPr>
        <w:spacing w:after="60"/>
        <w:ind w:left="360"/>
      </w:pPr>
      <w:r>
        <w:rPr>
          <w:color w:val="1F2937"/>
          <w:sz w:val="22"/>
          <w:szCs w:val="22"/>
        </w:rPr>
        <w:t xml:space="preserve">• 2026-07-18_lecon-placement-financier_06_assurance-vie-fonds-euros-uc-fiscalite.docx</w:t>
      </w:r>
    </w:p>
    <w:p>
      <w:pPr>
        <w:spacing w:after="60"/>
        <w:ind w:left="360"/>
      </w:pPr>
      <w:r>
        <w:rPr>
          <w:color w:val="1F2937"/>
          <w:sz w:val="22"/>
          <w:szCs w:val="22"/>
        </w:rPr>
        <w:t xml:space="preserve">• 2026-07-25_lecon-placement-financier_07_per-preparation-retraite-fiscalite.docx</w:t>
      </w:r>
    </w:p>
    <w:p>
      <w:pPr>
        <w:spacing w:after="60"/>
        <w:ind w:left="360"/>
      </w:pPr>
      <w:r>
        <w:rPr>
          <w:color w:val="1F2937"/>
          <w:sz w:val="22"/>
          <w:szCs w:val="22"/>
        </w:rPr>
        <w:t xml:space="preserve">• 2026-08-01_lecon-placement-financier_08_immobilier-scpi-pierre-papier.docx</w:t>
      </w:r>
    </w:p>
    <w:p>
      <w:pPr>
        <w:spacing w:after="60"/>
        <w:ind w:left="360"/>
      </w:pPr>
      <w:r>
        <w:rPr>
          <w:color w:val="1F2937"/>
          <w:sz w:val="22"/>
          <w:szCs w:val="22"/>
        </w:rPr>
        <w:t xml:space="preserve">• 2026-08-02_lecon-appli-ia_01_cadrage-specification.docx</w:t>
      </w:r>
    </w:p>
    <w:p>
      <w:pPr>
        <w:spacing w:after="60"/>
        <w:ind w:left="360"/>
      </w:pPr>
      <w:r>
        <w:rPr>
          <w:color w:val="1F2937"/>
          <w:sz w:val="22"/>
          <w:szCs w:val="22"/>
        </w:rPr>
        <w:t xml:space="preserve">• 2026-08-07_lecon-appli-ia_02_socle-web-premier-ecran.docx</w:t>
      </w:r>
    </w:p>
    <w:p>
      <w:pPr>
        <w:spacing w:after="60"/>
        <w:ind w:left="360"/>
      </w:pPr>
      <w:r>
        <w:rPr>
          <w:color w:val="1F2937"/>
          <w:sz w:val="22"/>
          <w:szCs w:val="22"/>
        </w:rPr>
        <w:t xml:space="preserve">• 2026-08-08_lecon-placement-financier_09_frais-impact-long-terme.docx</w:t>
      </w:r>
    </w:p>
    <w:p>
      <w:pPr>
        <w:spacing w:after="60"/>
        <w:ind w:left="360"/>
      </w:pPr>
      <w:r>
        <w:rPr>
          <w:color w:val="1F2937"/>
          <w:sz w:val="22"/>
          <w:szCs w:val="22"/>
        </w:rPr>
        <w:t xml:space="preserve">• 2026-08-14_lecon-appli-ia_03_typescript-structure-projet.docx</w:t>
      </w:r>
    </w:p>
    <w:p>
      <w:pPr>
        <w:spacing w:after="60"/>
        <w:ind w:left="360"/>
      </w:pPr>
      <w:r>
        <w:rPr>
          <w:color w:val="1F2937"/>
          <w:sz w:val="22"/>
          <w:szCs w:val="22"/>
        </w:rPr>
        <w:t xml:space="preserve">• 2026-08-15_lecon-placement-financier_10_fiscalite-revenus-capital.docx</w:t>
      </w:r>
    </w:p>
    <w:p>
      <w:pPr>
        <w:spacing w:after="60"/>
        <w:ind w:left="360"/>
      </w:pPr>
      <w:r>
        <w:rPr>
          <w:color w:val="1F2937"/>
          <w:sz w:val="22"/>
          <w:szCs w:val="22"/>
        </w:rPr>
        <w:t xml:space="preserve">• 2026-08-21_lecon-appli-ia_04_donnees-reelles-api-fichiers.docx</w:t>
      </w:r>
    </w:p>
    <w:p>
      <w:pPr>
        <w:spacing w:after="60"/>
        <w:ind w:left="360"/>
      </w:pPr>
      <w:r>
        <w:rPr>
          <w:color w:val="1F2937"/>
          <w:sz w:val="22"/>
          <w:szCs w:val="22"/>
        </w:rPr>
        <w:t xml:space="preserve">• 2026-08-22_lecon-placement-financier_11_epargne-salariale-pee-pereco-interessement-abondement.docx</w:t>
      </w:r>
    </w:p>
    <w:p>
      <w:pPr>
        <w:spacing w:after="60"/>
        <w:ind w:left="360"/>
      </w:pPr>
      <w:r>
        <w:rPr>
          <w:color w:val="1F2937"/>
          <w:sz w:val="22"/>
          <w:szCs w:val="22"/>
        </w:rPr>
        <w:t xml:space="preserve">• 2026-08-25_lecon-dzogchen_13_bardos-processus-mort.docx</w:t>
      </w:r>
    </w:p>
    <w:p>
      <w:pPr>
        <w:spacing w:after="60"/>
        <w:ind w:left="360"/>
      </w:pPr>
      <w:r>
        <w:rPr>
          <w:color w:val="1F2937"/>
          <w:sz w:val="22"/>
          <w:szCs w:val="22"/>
        </w:rPr>
        <w:t xml:space="preserve">• 2026-08-27_lecon-stoicisme_12_musonius-rufus-exercice-concret.docx</w:t>
      </w:r>
    </w:p>
    <w:p>
      <w:pPr>
        <w:spacing w:after="60"/>
        <w:ind w:left="360"/>
      </w:pPr>
      <w:r>
        <w:rPr>
          <w:color w:val="1F2937"/>
          <w:sz w:val="22"/>
          <w:szCs w:val="22"/>
        </w:rPr>
        <w:t xml:space="preserve">• 2026-08-28_lecon-appli-ia_05_interface-react-composants.docx</w:t>
      </w:r>
    </w:p>
    <w:p>
      <w:pPr>
        <w:spacing w:after="60"/>
        <w:ind w:left="360"/>
      </w:pPr>
      <w:r>
        <w:rPr>
          <w:color w:val="1F2937"/>
          <w:sz w:val="22"/>
          <w:szCs w:val="22"/>
        </w:rPr>
        <w:t xml:space="preserve">• 2026-08-29_lecon-placement-financier_12_obligations-fonds-obligataires.docx</w:t>
      </w:r>
    </w:p>
    <w:p>
      <w:pPr>
        <w:spacing w:after="60"/>
        <w:ind w:left="360"/>
      </w:pPr>
      <w:r>
        <w:rPr>
          <w:color w:val="1F2937"/>
          <w:sz w:val="22"/>
          <w:szCs w:val="22"/>
        </w:rPr>
        <w:t xml:space="preserve">• 2026-08-31_lecon-psychopathologie_13_troubles-neurocognitifs-vieillissement.docx</w:t>
      </w:r>
    </w:p>
    <w:p>
      <w:pPr>
        <w:spacing w:after="60"/>
        <w:ind w:left="360"/>
      </w:pPr>
      <w:r>
        <w:rPr>
          <w:color w:val="1F2937"/>
          <w:sz w:val="22"/>
          <w:szCs w:val="22"/>
        </w:rPr>
        <w:t xml:space="preserve">• 2026-08-31_veille_has-actualite.docx</w:t>
      </w:r>
    </w:p>
    <w:p>
      <w:pPr>
        <w:spacing w:after="60"/>
        <w:ind w:left="360"/>
      </w:pPr>
      <w:r>
        <w:rPr>
          <w:color w:val="1F2937"/>
          <w:sz w:val="22"/>
          <w:szCs w:val="22"/>
        </w:rPr>
        <w:t xml:space="preserve">• 2026-09-01_lecon-dzogchen_14_corps-arc-en-ciel-sources-recits.docx</w:t>
      </w:r>
    </w:p>
    <w:p>
      <w:pPr>
        <w:spacing w:after="60"/>
        <w:ind w:left="360"/>
      </w:pPr>
      <w:r>
        <w:rPr>
          <w:color w:val="1F2937"/>
          <w:sz w:val="22"/>
          <w:szCs w:val="22"/>
        </w:rPr>
        <w:t xml:space="preserve">• 2026-09-02_lecon-enneagramme_14_niveaux-developpement-riso-hudson.docx</w:t>
      </w:r>
    </w:p>
    <w:p>
      <w:pPr>
        <w:spacing w:after="60"/>
        <w:ind w:left="360"/>
      </w:pPr>
      <w:r>
        <w:rPr>
          <w:color w:val="1F2937"/>
          <w:sz w:val="22"/>
          <w:szCs w:val="22"/>
        </w:rPr>
        <w:t xml:space="preserve">• 2026-09-02_veille_has-actualite.docx</w:t>
      </w:r>
    </w:p>
    <w:p>
      <w:pPr>
        <w:spacing w:after="60"/>
        <w:ind w:left="360"/>
      </w:pPr>
      <w:r>
        <w:rPr>
          <w:color w:val="1F2937"/>
          <w:sz w:val="22"/>
          <w:szCs w:val="22"/>
        </w:rPr>
        <w:t xml:space="preserve">• 2026-09-03_lecon-stoicisme_13_zenon-chrysippe-ancien-portique.docx</w:t>
      </w:r>
    </w:p>
    <w:p>
      <w:pPr>
        <w:spacing w:after="60"/>
        <w:ind w:left="360"/>
      </w:pPr>
      <w:r>
        <w:rPr>
          <w:color w:val="1F2937"/>
          <w:sz w:val="22"/>
          <w:szCs w:val="22"/>
        </w:rPr>
        <w:t xml:space="preserve">• 2026-09-04_lecon-appli-ia_06_recherche-filtres.docx</w:t>
      </w:r>
    </w:p>
    <w:p>
      <w:pPr>
        <w:spacing w:after="60"/>
        <w:ind w:left="360"/>
      </w:pPr>
      <w:r>
        <w:rPr>
          <w:color w:val="1F2937"/>
          <w:sz w:val="22"/>
          <w:szCs w:val="22"/>
        </w:rPr>
        <w:t xml:space="preserve">• 2026-09-05_lecon-placement-financier_13_etf-gestion-indicielle.docx</w:t>
      </w:r>
    </w:p>
    <w:p>
      <w:pPr>
        <w:spacing w:after="60"/>
        <w:ind w:left="360"/>
      </w:pPr>
      <w:r>
        <w:rPr>
          <w:color w:val="1F2937"/>
          <w:sz w:val="22"/>
          <w:szCs w:val="22"/>
        </w:rPr>
        <w:t xml:space="preserve">• 2026-09-07_lecon-psychopathologie_15_crise-suicidaire-evaluation-risque-conduite.docx</w:t>
      </w:r>
    </w:p>
    <w:p>
      <w:pPr>
        <w:spacing w:after="60"/>
        <w:ind w:left="360"/>
      </w:pPr>
      <w:r>
        <w:rPr>
          <w:color w:val="1F2937"/>
          <w:sz w:val="22"/>
          <w:szCs w:val="22"/>
        </w:rPr>
        <w:t xml:space="preserve">• 2026-09-10_lecon-stoicisme_14_physique-logique-logos-destin-assentiment.docx</w:t>
      </w:r>
    </w:p>
    <w:p>
      <w:pPr>
        <w:spacing w:after="60"/>
        <w:ind w:left="360"/>
      </w:pPr>
      <w:r>
        <w:rPr>
          <w:color w:val="1F2937"/>
          <w:sz w:val="22"/>
          <w:szCs w:val="22"/>
        </w:rPr>
        <w:t xml:space="preserve">• 2026-09-11_lecon-appli-ia_07_persistance-sqlite.docx</w:t>
      </w:r>
    </w:p>
    <w:p>
      <w:pPr>
        <w:spacing w:after="60"/>
        <w:ind w:left="360"/>
      </w:pPr>
      <w:r>
        <w:rPr>
          <w:color w:val="1F2937"/>
          <w:sz w:val="22"/>
          <w:szCs w:val="22"/>
        </w:rPr>
        <w:t xml:space="preserve">• 2026-09-12_lecon-placement-financier_14_gestion-libre-pilotee-mandat-arbitrage.docx</w:t>
      </w:r>
    </w:p>
    <w:p>
      <w:pPr>
        <w:spacing w:after="60"/>
        <w:ind w:left="360"/>
      </w:pPr>
      <w:r>
        <w:rPr>
          <w:color w:val="1F2937"/>
          <w:sz w:val="22"/>
          <w:szCs w:val="22"/>
        </w:rPr>
        <w:t xml:space="preserve">• 2026-09-14_lecon-psychopathologie_16_handicap-psychique-deficience-intellectuelle.docx</w:t>
      </w:r>
    </w:p>
    <w:p>
      <w:pPr>
        <w:spacing w:after="60"/>
        <w:ind w:left="360"/>
      </w:pPr>
      <w:r>
        <w:rPr>
          <w:color w:val="1F2937"/>
          <w:sz w:val="22"/>
          <w:szCs w:val="22"/>
        </w:rPr>
        <w:t xml:space="preserve">• 2026-09-14_veille_has-actualite.docx</w:t>
      </w:r>
    </w:p>
    <w:p>
      <w:pPr>
        <w:spacing w:after="60"/>
        <w:ind w:left="360"/>
      </w:pPr>
      <w:r>
        <w:rPr>
          <w:color w:val="1F2937"/>
          <w:sz w:val="22"/>
          <w:szCs w:val="22"/>
        </w:rPr>
        <w:t xml:space="preserve">• 2026-09-15_lecon-dzogchen_16_jigme-lingpa-longchen-nyingtik-termas.docx</w:t>
      </w:r>
    </w:p>
    <w:p>
      <w:pPr>
        <w:spacing w:after="60"/>
        <w:ind w:left="360"/>
      </w:pPr>
      <w:r>
        <w:rPr>
          <w:color w:val="1F2937"/>
          <w:sz w:val="22"/>
          <w:szCs w:val="22"/>
        </w:rPr>
        <w:t xml:space="preserve">• 2026-09-16_lecon-enneagramme_16_triades-horneviennes-harmoniques.docx</w:t>
      </w:r>
    </w:p>
    <w:p>
      <w:pPr>
        <w:spacing w:after="60"/>
        <w:ind w:left="360"/>
      </w:pPr>
      <w:r>
        <w:rPr>
          <w:color w:val="1F2937"/>
          <w:sz w:val="22"/>
          <w:szCs w:val="22"/>
        </w:rPr>
        <w:t xml:space="preserve">• 2026-09-17_lecon-stoicisme_15_kathakon-devoir-engagement-cite.docx</w:t>
      </w:r>
    </w:p>
    <w:p>
      <w:pPr>
        <w:spacing w:after="60"/>
        <w:ind w:left="360"/>
      </w:pPr>
      <w:r>
        <w:rPr>
          <w:color w:val="1F2937"/>
          <w:sz w:val="22"/>
          <w:szCs w:val="22"/>
        </w:rPr>
        <w:t xml:space="preserve">• 2026-09-18_lecon-appli-ia_08_api-architecture-contrats.docx</w:t>
      </w:r>
    </w:p>
    <w:p>
      <w:pPr>
        <w:spacing w:after="60"/>
        <w:ind w:left="360"/>
      </w:pPr>
      <w:r>
        <w:rPr>
          <w:color w:val="1F2937"/>
          <w:sz w:val="22"/>
          <w:szCs w:val="22"/>
        </w:rPr>
        <w:t xml:space="preserve">• 2026-09-18_veille_ai-act.docx</w:t>
      </w:r>
    </w:p>
    <w:p>
      <w:pPr>
        <w:spacing w:after="60"/>
        <w:ind w:left="360"/>
      </w:pPr>
      <w:r>
        <w:rPr>
          <w:color w:val="1F2937"/>
          <w:sz w:val="22"/>
          <w:szCs w:val="22"/>
        </w:rPr>
        <w:t xml:space="preserve">• 2026-09-19_lecon-placement-financier_15_biais-comportementaux-epargnant.docx</w:t>
      </w:r>
    </w:p>
    <w:p>
      <w:pPr>
        <w:spacing w:after="60"/>
        <w:ind w:left="360"/>
      </w:pPr>
      <w:r>
        <w:rPr>
          <w:color w:val="1F2937"/>
          <w:sz w:val="22"/>
          <w:szCs w:val="22"/>
        </w:rPr>
        <w:t xml:space="preserve">• 2026-09-20_lecon-revenus-passifs_09_outils-automatisation-ia-mesure-maintenance.docx</w:t>
      </w:r>
    </w:p>
    <w:p>
      <w:pPr>
        <w:spacing w:after="60"/>
        <w:ind w:left="360"/>
      </w:pPr>
      <w:r>
        <w:rPr>
          <w:color w:val="1F2937"/>
          <w:sz w:val="22"/>
          <w:szCs w:val="22"/>
        </w:rPr>
        <w:t xml:space="preserve">• 2026-09-20_veille_imac.docx</w:t>
      </w:r>
    </w:p>
    <w:p>
      <w:pPr>
        <w:spacing w:after="60"/>
        <w:ind w:left="360"/>
      </w:pPr>
      <w:r>
        <w:rPr>
          <w:color w:val="1F2937"/>
          <w:sz w:val="22"/>
          <w:szCs w:val="22"/>
        </w:rPr>
        <w:t xml:space="preserve">• 2026-09-21_veille_has-actualite.docx</w:t>
      </w:r>
    </w:p>
    <w:p>
      <w:pPr>
        <w:spacing w:after="80"/>
      </w:pPr>
      <w:r>
        <w:rPr>
          <w:color w:val="1F2937"/>
          <w:sz w:val="22"/>
          <w:szCs w:val="22"/>
        </w:rPr>
        <w:t xml:space="preserve"/>
      </w:r>
    </w:p>
    <w:p>
      <w:pPr>
        <w:spacing w:after="120" w:before="300"/>
      </w:pPr>
      <w:r>
        <w:rPr>
          <w:b/>
          <w:bCs/>
          <w:color w:val="1B3A6B"/>
          <w:sz w:val="28"/>
          <w:szCs w:val="28"/>
        </w:rPr>
        <w:t xml:space="preserve">Verdict global</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gridCol w:w="100"/>
        <w:gridCol w:w="100"/>
        <w:gridCol w:w="100"/>
        <w:gridCol w:w="100"/>
        <w:gridCol w:w="100"/>
        <w:gridCol w:w="100"/>
      </w:tblGrid>
      <w:tr>
        <w:trPr>
          <w:tblHeader/>
        </w:trPr>
        <w:tc>
          <w:tcPr>
            <w:shd w:fill="1B3A6B" w:val="clear"/>
            <w:tcMar>
              <w:top w:type="dxa" w:w="60"/>
              <w:left w:type="dxa" w:w="80"/>
              <w:bottom w:type="dxa" w:w="60"/>
              <w:right w:type="dxa" w:w="80"/>
            </w:tcMar>
            <w:vAlign w:val="center"/>
          </w:tcPr>
          <w:p>
            <w:pPr>
              <w:jc w:val="center"/>
            </w:pPr>
            <w:r>
              <w:rPr>
                <w:b/>
                <w:bCs/>
                <w:color w:val="FFFFFF"/>
                <w:sz w:val="18"/>
                <w:szCs w:val="18"/>
              </w:rPr>
              <w:t xml:space="preserve">Fichier</w:t>
            </w:r>
          </w:p>
        </w:tc>
        <w:tc>
          <w:tcPr>
            <w:shd w:fill="1B3A6B" w:val="clear"/>
            <w:tcMar>
              <w:top w:type="dxa" w:w="60"/>
              <w:left w:type="dxa" w:w="80"/>
              <w:bottom w:type="dxa" w:w="60"/>
              <w:right w:type="dxa" w:w="80"/>
            </w:tcMar>
            <w:vAlign w:val="center"/>
          </w:tcPr>
          <w:p>
            <w:pPr>
              <w:jc w:val="center"/>
            </w:pPr>
            <w:r>
              <w:rPr>
                <w:b/>
                <w:bCs/>
                <w:color w:val="FFFFFF"/>
                <w:sz w:val="18"/>
                <w:szCs w:val="18"/>
              </w:rPr>
              <w:t xml:space="preserve">Job</w:t>
            </w:r>
          </w:p>
        </w:tc>
        <w:tc>
          <w:tcPr>
            <w:shd w:fill="1B3A6B" w:val="clear"/>
            <w:tcMar>
              <w:top w:type="dxa" w:w="60"/>
              <w:left w:type="dxa" w:w="80"/>
              <w:bottom w:type="dxa" w:w="60"/>
              <w:right w:type="dxa" w:w="80"/>
            </w:tcMar>
            <w:vAlign w:val="center"/>
          </w:tcPr>
          <w:p>
            <w:pPr>
              <w:jc w:val="center"/>
            </w:pPr>
            <w:r>
              <w:rPr>
                <w:b/>
                <w:bCs/>
                <w:color w:val="FFFFFF"/>
                <w:sz w:val="18"/>
                <w:szCs w:val="18"/>
              </w:rPr>
              <w:t xml:space="preserve">Liens testés/déclarés</w:t>
            </w:r>
          </w:p>
        </w:tc>
        <w:tc>
          <w:tcPr>
            <w:shd w:fill="1B3A6B" w:val="clear"/>
            <w:tcMar>
              <w:top w:type="dxa" w:w="60"/>
              <w:left w:type="dxa" w:w="80"/>
              <w:bottom w:type="dxa" w:w="60"/>
              <w:right w:type="dxa" w:w="80"/>
            </w:tcMar>
            <w:vAlign w:val="center"/>
          </w:tcPr>
          <w:p>
            <w:pPr>
              <w:jc w:val="center"/>
            </w:pPr>
            <w:r>
              <w:rPr>
                <w:b/>
                <w:bCs/>
                <w:color w:val="FFFFFF"/>
                <w:sz w:val="18"/>
                <w:szCs w:val="18"/>
              </w:rPr>
              <w:t xml:space="preserve">Morts</w:t>
            </w:r>
          </w:p>
        </w:tc>
        <w:tc>
          <w:tcPr>
            <w:shd w:fill="1B3A6B" w:val="clear"/>
            <w:tcMar>
              <w:top w:type="dxa" w:w="60"/>
              <w:left w:type="dxa" w:w="80"/>
              <w:bottom w:type="dxa" w:w="60"/>
              <w:right w:type="dxa" w:w="80"/>
            </w:tcMar>
            <w:vAlign w:val="center"/>
          </w:tcPr>
          <w:p>
            <w:pPr>
              <w:jc w:val="center"/>
            </w:pPr>
            <w:r>
              <w:rPr>
                <w:b/>
                <w:bCs/>
                <w:color w:val="FFFFFF"/>
                <w:sz w:val="18"/>
                <w:szCs w:val="18"/>
              </w:rPr>
              <w:t xml:space="preserve">Attributions (heure contrôle: 11h13)</w:t>
            </w:r>
          </w:p>
        </w:tc>
        <w:tc>
          <w:tcPr>
            <w:shd w:fill="1B3A6B" w:val="clear"/>
            <w:tcMar>
              <w:top w:type="dxa" w:w="60"/>
              <w:left w:type="dxa" w:w="80"/>
              <w:bottom w:type="dxa" w:w="60"/>
              <w:right w:type="dxa" w:w="80"/>
            </w:tcMar>
            <w:vAlign w:val="center"/>
          </w:tcPr>
          <w:p>
            <w:pPr>
              <w:jc w:val="center"/>
            </w:pPr>
            <w:r>
              <w:rPr>
                <w:b/>
                <w:bCs/>
                <w:color w:val="FFFFFF"/>
                <w:sz w:val="18"/>
                <w:szCs w:val="18"/>
              </w:rPr>
              <w:t xml:space="preserve">Décompte</w:t>
            </w:r>
          </w:p>
        </w:tc>
        <w:tc>
          <w:tcPr>
            <w:shd w:fill="1B3A6B" w:val="clear"/>
            <w:tcMar>
              <w:top w:type="dxa" w:w="60"/>
              <w:left w:type="dxa" w:w="80"/>
              <w:bottom w:type="dxa" w:w="60"/>
              <w:right w:type="dxa" w:w="80"/>
            </w:tcMar>
            <w:vAlign w:val="center"/>
          </w:tcPr>
          <w:p>
            <w:pPr>
              <w:jc w:val="center"/>
            </w:pPr>
            <w:r>
              <w:rPr>
                <w:b/>
                <w:bCs/>
                <w:color w:val="FFFFFF"/>
                <w:sz w:val="18"/>
                <w:szCs w:val="18"/>
              </w:rPr>
              <w:t xml:space="preserve">Chiffres</w:t>
            </w:r>
          </w:p>
        </w:tc>
        <w:tc>
          <w:tcPr>
            <w:shd w:fill="1B3A6B" w:val="clear"/>
            <w:tcMar>
              <w:top w:type="dxa" w:w="60"/>
              <w:left w:type="dxa" w:w="80"/>
              <w:bottom w:type="dxa" w:w="60"/>
              <w:right w:type="dxa" w:w="80"/>
            </w:tcMar>
            <w:vAlign w:val="center"/>
          </w:tcPr>
          <w:p>
            <w:pPr>
              <w:jc w:val="center"/>
            </w:pPr>
            <w:r>
              <w:rPr>
                <w:b/>
                <w:bCs/>
                <w:color w:val="FFFFFF"/>
                <w:sz w:val="18"/>
                <w:szCs w:val="18"/>
              </w:rPr>
              <w:t xml:space="preserve">Points</w:t>
            </w:r>
          </w:p>
        </w:tc>
        <w:tc>
          <w:tcPr>
            <w:shd w:fill="1B3A6B" w:val="clear"/>
            <w:tcMar>
              <w:top w:type="dxa" w:w="60"/>
              <w:left w:type="dxa" w:w="80"/>
              <w:bottom w:type="dxa" w:w="60"/>
              <w:right w:type="dxa" w:w="80"/>
            </w:tcMar>
            <w:vAlign w:val="center"/>
          </w:tcPr>
          <w:p>
            <w:pPr>
              <w:jc w:val="center"/>
            </w:pPr>
            <w:r>
              <w:rPr>
                <w:b/>
                <w:bCs/>
                <w:color w:val="FFFFFF"/>
                <w:sz w:val="18"/>
                <w:szCs w:val="18"/>
              </w:rPr>
              <w:t xml:space="preserve">Gravité</w:t>
            </w:r>
          </w:p>
        </w:tc>
      </w:tr>
      <w:tr>
        <w:tc>
          <w:tcPr>
            <w:shd/>
            <w:tcMar>
              <w:top w:type="dxa" w:w="50"/>
              <w:left w:type="dxa" w:w="80"/>
              <w:bottom w:type="dxa" w:w="50"/>
              <w:right w:type="dxa" w:w="80"/>
            </w:tcMar>
            <w:vAlign w:val="center"/>
          </w:tcPr>
          <w:p>
            <w:r>
              <w:rPr>
                <w:color w:val="1F2937"/>
                <w:sz w:val="18"/>
                <w:szCs w:val="18"/>
              </w:rPr>
              <w:t xml:space="preserve">veille_imac_2026-09-27</w:t>
            </w:r>
          </w:p>
        </w:tc>
        <w:tc>
          <w:tcPr>
            <w:shd/>
            <w:tcMar>
              <w:top w:type="dxa" w:w="50"/>
              <w:left w:type="dxa" w:w="80"/>
              <w:bottom w:type="dxa" w:w="50"/>
              <w:right w:type="dxa" w:w="80"/>
            </w:tcMar>
            <w:vAlign w:val="center"/>
          </w:tcPr>
          <w:p>
            <w:r>
              <w:rPr>
                <w:color w:val="1F2937"/>
                <w:sz w:val="18"/>
                <w:szCs w:val="18"/>
              </w:rPr>
              <w:t xml:space="preserve">imac-veille</w:t>
            </w:r>
          </w:p>
        </w:tc>
        <w:tc>
          <w:tcPr>
            <w:shd/>
            <w:tcMar>
              <w:top w:type="dxa" w:w="50"/>
              <w:left w:type="dxa" w:w="80"/>
              <w:bottom w:type="dxa" w:w="50"/>
              <w:right w:type="dxa" w:w="80"/>
            </w:tcMar>
            <w:vAlign w:val="center"/>
          </w:tcPr>
          <w:p>
            <w:r>
              <w:rPr>
                <w:color w:val="1F2937"/>
                <w:sz w:val="18"/>
                <w:szCs w:val="18"/>
              </w:rPr>
              <w:t xml:space="preserve">12 / 12</w:t>
            </w:r>
          </w:p>
        </w:tc>
        <w:tc>
          <w:tcPr>
            <w:shd/>
            <w:tcMar>
              <w:top w:type="dxa" w:w="50"/>
              <w:left w:type="dxa" w:w="80"/>
              <w:bottom w:type="dxa" w:w="50"/>
              <w:right w:type="dxa" w:w="80"/>
            </w:tcMar>
            <w:vAlign w:val="center"/>
          </w:tcPr>
          <w:p>
            <w:r>
              <w:rPr>
                <w:color w:val="1F2937"/>
                <w:sz w:val="18"/>
                <w:szCs w:val="18"/>
              </w:rPr>
              <w:t xml:space="preserve">0</w:t>
            </w:r>
          </w:p>
        </w:tc>
        <w:tc>
          <w:tcPr>
            <w:shd/>
            <w:tcMar>
              <w:top w:type="dxa" w:w="50"/>
              <w:left w:type="dxa" w:w="80"/>
              <w:bottom w:type="dxa" w:w="50"/>
              <w:right w:type="dxa" w:w="80"/>
            </w:tcMar>
            <w:vAlign w:val="center"/>
          </w:tcPr>
          <w:p>
            <w:r>
              <w:rPr>
                <w:color w:val="1F2937"/>
                <w:sz w:val="18"/>
                <w:szCs w:val="18"/>
              </w:rPr>
              <w:t xml:space="preserve">exit 0</w:t>
            </w:r>
          </w:p>
        </w:tc>
        <w:tc>
          <w:tcPr>
            <w:shd/>
            <w:tcMar>
              <w:top w:type="dxa" w:w="50"/>
              <w:left w:type="dxa" w:w="80"/>
              <w:bottom w:type="dxa" w:w="50"/>
              <w:right w:type="dxa" w:w="80"/>
            </w:tcMar>
            <w:vAlign w:val="center"/>
          </w:tcPr>
          <w:p>
            <w:r>
              <w:rPr>
                <w:color w:val="1F2937"/>
                <w:sz w:val="18"/>
                <w:szCs w:val="18"/>
              </w:rPr>
              <w:t xml:space="preserve">COHERENT</w:t>
            </w:r>
          </w:p>
        </w:tc>
        <w:tc>
          <w:tcPr>
            <w:shd/>
            <w:tcMar>
              <w:top w:type="dxa" w:w="50"/>
              <w:left w:type="dxa" w:w="80"/>
              <w:bottom w:type="dxa" w:w="50"/>
              <w:right w:type="dxa" w:w="80"/>
            </w:tcMar>
            <w:vAlign w:val="center"/>
          </w:tcPr>
          <w:p>
            <w:r>
              <w:rPr>
                <w:color w:val="1F2937"/>
                <w:sz w:val="18"/>
                <w:szCs w:val="18"/>
              </w:rPr>
              <w:t xml:space="preserve">Prix marché (non réglementaires)</w:t>
            </w:r>
          </w:p>
        </w:tc>
        <w:tc>
          <w:tcPr>
            <w:shd/>
            <w:tcMar>
              <w:top w:type="dxa" w:w="50"/>
              <w:left w:type="dxa" w:w="80"/>
              <w:bottom w:type="dxa" w:w="50"/>
              <w:right w:type="dxa" w:w="80"/>
            </w:tcMar>
            <w:vAlign w:val="center"/>
          </w:tcPr>
          <w:p>
            <w:r>
              <w:rPr>
                <w:color w:val="1F2937"/>
                <w:sz w:val="18"/>
                <w:szCs w:val="18"/>
              </w:rPr>
              <w:t xml:space="preserve">4 D à relire (prix)</w:t>
            </w:r>
          </w:p>
        </w:tc>
        <w:tc>
          <w:tcPr>
            <w:shd/>
            <w:tcMar>
              <w:top w:type="dxa" w:w="50"/>
              <w:left w:type="dxa" w:w="80"/>
              <w:bottom w:type="dxa" w:w="50"/>
              <w:right w:type="dxa" w:w="80"/>
            </w:tcMar>
            <w:vAlign w:val="center"/>
          </w:tcPr>
          <w:p>
            <w:r>
              <w:rPr>
                <w:color w:val="1F2937"/>
                <w:sz w:val="18"/>
                <w:szCs w:val="18"/>
              </w:rPr>
              <w:t xml:space="preserve">Point de vigilance</w:t>
            </w:r>
          </w:p>
        </w:tc>
      </w:tr>
      <w:tr>
        <w:tc>
          <w:tcPr>
            <w:shd w:fill="EEF2F7" w:val="clear"/>
            <w:tcMar>
              <w:top w:type="dxa" w:w="50"/>
              <w:left w:type="dxa" w:w="80"/>
              <w:bottom w:type="dxa" w:w="50"/>
              <w:right w:type="dxa" w:w="80"/>
            </w:tcMar>
            <w:vAlign w:val="center"/>
          </w:tcPr>
          <w:p>
            <w:r>
              <w:rPr>
                <w:color w:val="1F2937"/>
                <w:sz w:val="18"/>
                <w:szCs w:val="18"/>
              </w:rPr>
              <w:t xml:space="preserve">lecon-revenus-passifs_10</w:t>
            </w:r>
          </w:p>
        </w:tc>
        <w:tc>
          <w:tcPr>
            <w:shd w:fill="EEF2F7" w:val="clear"/>
            <w:tcMar>
              <w:top w:type="dxa" w:w="50"/>
              <w:left w:type="dxa" w:w="80"/>
              <w:bottom w:type="dxa" w:w="50"/>
              <w:right w:type="dxa" w:w="80"/>
            </w:tcMar>
            <w:vAlign w:val="center"/>
          </w:tcPr>
          <w:p>
            <w:r>
              <w:rPr>
                <w:color w:val="1F2937"/>
                <w:sz w:val="18"/>
                <w:szCs w:val="18"/>
              </w:rPr>
              <w:t xml:space="preserve">revenus-passifs</w:t>
            </w:r>
          </w:p>
        </w:tc>
        <w:tc>
          <w:tcPr>
            <w:shd w:fill="EEF2F7" w:val="clear"/>
            <w:tcMar>
              <w:top w:type="dxa" w:w="50"/>
              <w:left w:type="dxa" w:w="80"/>
              <w:bottom w:type="dxa" w:w="50"/>
              <w:right w:type="dxa" w:w="80"/>
            </w:tcMar>
            <w:vAlign w:val="center"/>
          </w:tcPr>
          <w:p>
            <w:r>
              <w:rPr>
                <w:color w:val="1F2937"/>
                <w:sz w:val="18"/>
                <w:szCs w:val="18"/>
              </w:rPr>
              <w:t xml:space="preserve">6 / 6 (+2 corps)</w:t>
            </w:r>
          </w:p>
        </w:tc>
        <w:tc>
          <w:tcPr>
            <w:shd w:fill="EEF2F7" w:val="clear"/>
            <w:tcMar>
              <w:top w:type="dxa" w:w="50"/>
              <w:left w:type="dxa" w:w="80"/>
              <w:bottom w:type="dxa" w:w="50"/>
              <w:right w:type="dxa" w:w="80"/>
            </w:tcMar>
            <w:vAlign w:val="center"/>
          </w:tcPr>
          <w:p>
            <w:r>
              <w:rPr>
                <w:color w:val="1F2937"/>
                <w:sz w:val="18"/>
                <w:szCs w:val="18"/>
              </w:rPr>
              <w:t xml:space="preserve">0</w:t>
            </w:r>
          </w:p>
        </w:tc>
        <w:tc>
          <w:tcPr>
            <w:shd w:fill="EEF2F7" w:val="clear"/>
            <w:tcMar>
              <w:top w:type="dxa" w:w="50"/>
              <w:left w:type="dxa" w:w="80"/>
              <w:bottom w:type="dxa" w:w="50"/>
              <w:right w:type="dxa" w:w="80"/>
            </w:tcMar>
            <w:vAlign w:val="center"/>
          </w:tcPr>
          <w:p>
            <w:r>
              <w:rPr>
                <w:color w:val="1F2937"/>
                <w:sz w:val="18"/>
                <w:szCs w:val="18"/>
              </w:rPr>
              <w:t xml:space="preserve">exit 0</w:t>
            </w:r>
          </w:p>
        </w:tc>
        <w:tc>
          <w:tcPr>
            <w:shd w:fill="EEF2F7" w:val="clear"/>
            <w:tcMar>
              <w:top w:type="dxa" w:w="50"/>
              <w:left w:type="dxa" w:w="80"/>
              <w:bottom w:type="dxa" w:w="50"/>
              <w:right w:type="dxa" w:w="80"/>
            </w:tcMar>
            <w:vAlign w:val="center"/>
          </w:tcPr>
          <w:p>
            <w:r>
              <w:rPr>
                <w:color w:val="1F2937"/>
                <w:sz w:val="18"/>
                <w:szCs w:val="18"/>
              </w:rPr>
              <w:t xml:space="preserve">—</w:t>
            </w:r>
          </w:p>
        </w:tc>
        <w:tc>
          <w:tcPr>
            <w:shd w:fill="EEF2F7" w:val="clear"/>
            <w:tcMar>
              <w:top w:type="dxa" w:w="50"/>
              <w:left w:type="dxa" w:w="80"/>
              <w:bottom w:type="dxa" w:w="50"/>
              <w:right w:type="dxa" w:w="80"/>
            </w:tcMar>
            <w:vAlign w:val="center"/>
          </w:tcPr>
          <w:p>
            <w:r>
              <w:rPr>
                <w:color w:val="1F2937"/>
                <w:sz w:val="18"/>
                <w:szCs w:val="18"/>
              </w:rPr>
              <w:t xml:space="preserve">70 % MRR en traduction</w:t>
            </w:r>
          </w:p>
        </w:tc>
        <w:tc>
          <w:tcPr>
            <w:shd w:fill="EEF2F7" w:val="clear"/>
            <w:tcMar>
              <w:top w:type="dxa" w:w="50"/>
              <w:left w:type="dxa" w:w="80"/>
              <w:bottom w:type="dxa" w:w="50"/>
              <w:right w:type="dxa" w:w="80"/>
            </w:tcMar>
            <w:vAlign w:val="center"/>
          </w:tcPr>
          <w:p>
            <w:r>
              <w:rPr>
                <w:color w:val="1F2937"/>
                <w:sz w:val="18"/>
                <w:szCs w:val="18"/>
              </w:rPr>
              <w:t xml:space="preserve">3 D à relire (non réglementaires)</w:t>
            </w:r>
          </w:p>
        </w:tc>
        <w:tc>
          <w:tcPr>
            <w:shd w:fill="EEF2F7" w:val="clear"/>
            <w:tcMar>
              <w:top w:type="dxa" w:w="50"/>
              <w:left w:type="dxa" w:w="80"/>
              <w:bottom w:type="dxa" w:w="50"/>
              <w:right w:type="dxa" w:w="80"/>
            </w:tcMar>
            <w:vAlign w:val="center"/>
          </w:tcPr>
          <w:p>
            <w:r>
              <w:rPr>
                <w:color w:val="1F2937"/>
                <w:sz w:val="18"/>
                <w:szCs w:val="18"/>
              </w:rPr>
              <w:t xml:space="preserve">Point de vigilance</w:t>
            </w:r>
          </w:p>
        </w:tc>
      </w:tr>
      <w:tr>
        <w:tc>
          <w:tcPr>
            <w:shd/>
            <w:tcMar>
              <w:top w:type="dxa" w:w="50"/>
              <w:left w:type="dxa" w:w="80"/>
              <w:bottom w:type="dxa" w:w="50"/>
              <w:right w:type="dxa" w:w="80"/>
            </w:tcMar>
            <w:vAlign w:val="center"/>
          </w:tcPr>
          <w:p>
            <w:r>
              <w:rPr>
                <w:color w:val="1F2937"/>
                <w:sz w:val="18"/>
                <w:szCs w:val="18"/>
              </w:rPr>
              <w:t xml:space="preserve">lecon-appli-ia_10</w:t>
            </w:r>
          </w:p>
        </w:tc>
        <w:tc>
          <w:tcPr>
            <w:shd/>
            <w:tcMar>
              <w:top w:type="dxa" w:w="50"/>
              <w:left w:type="dxa" w:w="80"/>
              <w:bottom w:type="dxa" w:w="50"/>
              <w:right w:type="dxa" w:w="80"/>
            </w:tcMar>
            <w:vAlign w:val="center"/>
          </w:tcPr>
          <w:p>
            <w:r>
              <w:rPr>
                <w:color w:val="1F2937"/>
                <w:sz w:val="18"/>
                <w:szCs w:val="18"/>
              </w:rPr>
              <w:t xml:space="preserve">appli-ia-lecon</w:t>
            </w:r>
          </w:p>
        </w:tc>
        <w:tc>
          <w:tcPr>
            <w:shd/>
            <w:tcMar>
              <w:top w:type="dxa" w:w="50"/>
              <w:left w:type="dxa" w:w="80"/>
              <w:bottom w:type="dxa" w:w="50"/>
              <w:right w:type="dxa" w:w="80"/>
            </w:tcMar>
            <w:vAlign w:val="center"/>
          </w:tcPr>
          <w:p>
            <w:r>
              <w:rPr>
                <w:color w:val="1F2937"/>
                <w:sz w:val="18"/>
                <w:szCs w:val="18"/>
              </w:rPr>
              <w:t xml:space="preserve">4 / 4</w:t>
            </w:r>
          </w:p>
        </w:tc>
        <w:tc>
          <w:tcPr>
            <w:shd/>
            <w:tcMar>
              <w:top w:type="dxa" w:w="50"/>
              <w:left w:type="dxa" w:w="80"/>
              <w:bottom w:type="dxa" w:w="50"/>
              <w:right w:type="dxa" w:w="80"/>
            </w:tcMar>
            <w:vAlign w:val="center"/>
          </w:tcPr>
          <w:p>
            <w:r>
              <w:rPr>
                <w:color w:val="1F2937"/>
                <w:sz w:val="18"/>
                <w:szCs w:val="18"/>
              </w:rPr>
              <w:t xml:space="preserve">0</w:t>
            </w:r>
          </w:p>
        </w:tc>
        <w:tc>
          <w:tcPr>
            <w:shd/>
            <w:tcMar>
              <w:top w:type="dxa" w:w="50"/>
              <w:left w:type="dxa" w:w="80"/>
              <w:bottom w:type="dxa" w:w="50"/>
              <w:right w:type="dxa" w:w="80"/>
            </w:tcMar>
            <w:vAlign w:val="center"/>
          </w:tcPr>
          <w:p>
            <w:r>
              <w:rPr>
                <w:color w:val="1F2937"/>
                <w:sz w:val="18"/>
                <w:szCs w:val="18"/>
              </w:rPr>
              <w:t xml:space="preserve">exit 1 faux positif SQL (page ouverte 27/09/2026 : fragments SQL, pas des URLs)</w:t>
            </w:r>
          </w:p>
        </w:tc>
        <w:tc>
          <w:tcPr>
            <w:shd/>
            <w:tcMar>
              <w:top w:type="dxa" w:w="50"/>
              <w:left w:type="dxa" w:w="80"/>
              <w:bottom w:type="dxa" w:w="50"/>
              <w:right w:type="dxa" w:w="80"/>
            </w:tcMar>
            <w:vAlign w:val="center"/>
          </w:tcPr>
          <w:p>
            <w:r>
              <w:rPr>
                <w:color w:val="1F2937"/>
                <w:sz w:val="18"/>
                <w:szCs w:val="18"/>
              </w:rPr>
              <w:t xml:space="preserve">—</w:t>
            </w:r>
          </w:p>
        </w:tc>
        <w:tc>
          <w:tcPr>
            <w:shd/>
            <w:tcMar>
              <w:top w:type="dxa" w:w="50"/>
              <w:left w:type="dxa" w:w="80"/>
              <w:bottom w:type="dxa" w:w="50"/>
              <w:right w:type="dxa" w:w="80"/>
            </w:tcMar>
            <w:vAlign w:val="center"/>
          </w:tcPr>
          <w:p>
            <w:r>
              <w:rPr>
                <w:color w:val="1F2937"/>
                <w:sz w:val="18"/>
                <w:szCs w:val="18"/>
              </w:rPr>
              <w:t xml:space="preserve">—</w:t>
            </w:r>
          </w:p>
        </w:tc>
        <w:tc>
          <w:tcPr>
            <w:shd/>
            <w:tcMar>
              <w:top w:type="dxa" w:w="50"/>
              <w:left w:type="dxa" w:w="80"/>
              <w:bottom w:type="dxa" w:w="50"/>
              <w:right w:type="dxa" w:w="80"/>
            </w:tcMar>
            <w:vAlign w:val="center"/>
          </w:tcPr>
          <w:p>
            <w:r>
              <w:rPr>
                <w:color w:val="1F2937"/>
                <w:sz w:val="18"/>
                <w:szCs w:val="18"/>
              </w:rPr>
              <w:t xml:space="preserve">Contrôle en défaut (SQL)</w:t>
            </w:r>
          </w:p>
        </w:tc>
        <w:tc>
          <w:tcPr>
            <w:shd/>
            <w:tcMar>
              <w:top w:type="dxa" w:w="50"/>
              <w:left w:type="dxa" w:w="80"/>
              <w:bottom w:type="dxa" w:w="50"/>
              <w:right w:type="dxa" w:w="80"/>
            </w:tcMar>
            <w:vAlign w:val="center"/>
          </w:tcPr>
          <w:p>
            <w:r>
              <w:rPr>
                <w:color w:val="1F2937"/>
                <w:sz w:val="18"/>
                <w:szCs w:val="18"/>
              </w:rPr>
              <w:t xml:space="preserve">Point de vigilance</w:t>
            </w:r>
          </w:p>
        </w:tc>
      </w:tr>
      <w:tr>
        <w:tc>
          <w:tcPr>
            <w:shd w:fill="EEF2F7" w:val="clear"/>
            <w:tcMar>
              <w:top w:type="dxa" w:w="50"/>
              <w:left w:type="dxa" w:w="80"/>
              <w:bottom w:type="dxa" w:w="50"/>
              <w:right w:type="dxa" w:w="80"/>
            </w:tcMar>
            <w:vAlign w:val="center"/>
          </w:tcPr>
          <w:p>
            <w:r>
              <w:rPr>
                <w:color w:val="1F2937"/>
                <w:sz w:val="18"/>
                <w:szCs w:val="18"/>
              </w:rPr>
              <w:t xml:space="preserve">lecon-placement-financier_16</w:t>
            </w:r>
          </w:p>
        </w:tc>
        <w:tc>
          <w:tcPr>
            <w:shd w:fill="EEF2F7" w:val="clear"/>
            <w:tcMar>
              <w:top w:type="dxa" w:w="50"/>
              <w:left w:type="dxa" w:w="80"/>
              <w:bottom w:type="dxa" w:w="50"/>
              <w:right w:type="dxa" w:w="80"/>
            </w:tcMar>
            <w:vAlign w:val="center"/>
          </w:tcPr>
          <w:p>
            <w:r>
              <w:rPr>
                <w:color w:val="1F2937"/>
                <w:sz w:val="18"/>
                <w:szCs w:val="18"/>
              </w:rPr>
              <w:t xml:space="preserve">placement-financier</w:t>
            </w:r>
          </w:p>
        </w:tc>
        <w:tc>
          <w:tcPr>
            <w:shd w:fill="EEF2F7" w:val="clear"/>
            <w:tcMar>
              <w:top w:type="dxa" w:w="50"/>
              <w:left w:type="dxa" w:w="80"/>
              <w:bottom w:type="dxa" w:w="50"/>
              <w:right w:type="dxa" w:w="80"/>
            </w:tcMar>
            <w:vAlign w:val="center"/>
          </w:tcPr>
          <w:p>
            <w:r>
              <w:rPr>
                <w:color w:val="1F2937"/>
                <w:sz w:val="18"/>
                <w:szCs w:val="18"/>
              </w:rPr>
              <w:t xml:space="preserve">4 / 4</w:t>
            </w:r>
          </w:p>
        </w:tc>
        <w:tc>
          <w:tcPr>
            <w:shd w:fill="EEF2F7" w:val="clear"/>
            <w:tcMar>
              <w:top w:type="dxa" w:w="50"/>
              <w:left w:type="dxa" w:w="80"/>
              <w:bottom w:type="dxa" w:w="50"/>
              <w:right w:type="dxa" w:w="80"/>
            </w:tcMar>
            <w:vAlign w:val="center"/>
          </w:tcPr>
          <w:p>
            <w:r>
              <w:rPr>
                <w:color w:val="1F2937"/>
                <w:sz w:val="18"/>
                <w:szCs w:val="18"/>
              </w:rPr>
              <w:t xml:space="preserve">0</w:t>
            </w:r>
          </w:p>
        </w:tc>
        <w:tc>
          <w:tcPr>
            <w:shd w:fill="EEF2F7" w:val="clear"/>
            <w:tcMar>
              <w:top w:type="dxa" w:w="50"/>
              <w:left w:type="dxa" w:w="80"/>
              <w:bottom w:type="dxa" w:w="50"/>
              <w:right w:type="dxa" w:w="80"/>
            </w:tcMar>
            <w:vAlign w:val="center"/>
          </w:tcPr>
          <w:p>
            <w:r>
              <w:rPr>
                <w:color w:val="1F2937"/>
                <w:sz w:val="18"/>
                <w:szCs w:val="18"/>
              </w:rPr>
              <w:t xml:space="preserve">exit 0</w:t>
            </w:r>
          </w:p>
        </w:tc>
        <w:tc>
          <w:tcPr>
            <w:shd w:fill="EEF2F7" w:val="clear"/>
            <w:tcMar>
              <w:top w:type="dxa" w:w="50"/>
              <w:left w:type="dxa" w:w="80"/>
              <w:bottom w:type="dxa" w:w="50"/>
              <w:right w:type="dxa" w:w="80"/>
            </w:tcMar>
            <w:vAlign w:val="center"/>
          </w:tcPr>
          <w:p>
            <w:r>
              <w:rPr>
                <w:color w:val="1F2937"/>
                <w:sz w:val="18"/>
                <w:szCs w:val="18"/>
              </w:rPr>
              <w:t xml:space="preserve">—</w:t>
            </w:r>
          </w:p>
        </w:tc>
        <w:tc>
          <w:tcPr>
            <w:shd w:fill="EEF2F7" w:val="clear"/>
            <w:tcMar>
              <w:top w:type="dxa" w:w="50"/>
              <w:left w:type="dxa" w:w="80"/>
              <w:bottom w:type="dxa" w:w="50"/>
              <w:right w:type="dxa" w:w="80"/>
            </w:tcMar>
            <w:vAlign w:val="center"/>
          </w:tcPr>
          <w:p>
            <w:r>
              <w:rPr>
                <w:color w:val="1F2937"/>
                <w:sz w:val="18"/>
                <w:szCs w:val="18"/>
              </w:rPr>
              <w:t xml:space="preserve">Abattements/barème CONFIRMES service-public.fr 27/09/2026</w:t>
            </w:r>
          </w:p>
        </w:tc>
        <w:tc>
          <w:tcPr>
            <w:shd w:fill="EEF2F7" w:val="clear"/>
            <w:tcMar>
              <w:top w:type="dxa" w:w="50"/>
              <w:left w:type="dxa" w:w="80"/>
              <w:bottom w:type="dxa" w:w="50"/>
              <w:right w:type="dxa" w:w="80"/>
            </w:tcMar>
            <w:vAlign w:val="center"/>
          </w:tcPr>
          <w:p>
            <w:r>
              <w:rPr>
                <w:color w:val="1F2937"/>
                <w:sz w:val="18"/>
                <w:szCs w:val="18"/>
              </w:rPr>
              <w:t xml:space="preserve">Legifrance 403, 2 D non verif. (interactif)</w:t>
            </w:r>
          </w:p>
        </w:tc>
        <w:tc>
          <w:tcPr>
            <w:shd w:fill="EEF2F7" w:val="clear"/>
            <w:tcMar>
              <w:top w:type="dxa" w:w="50"/>
              <w:left w:type="dxa" w:w="80"/>
              <w:bottom w:type="dxa" w:w="50"/>
              <w:right w:type="dxa" w:w="80"/>
            </w:tcMar>
            <w:vAlign w:val="center"/>
          </w:tcPr>
          <w:p>
            <w:r>
              <w:rPr>
                <w:color w:val="1F2937"/>
                <w:sz w:val="18"/>
                <w:szCs w:val="18"/>
              </w:rPr>
              <w:t xml:space="preserve">Point de vigilance</w:t>
            </w:r>
          </w:p>
        </w:tc>
      </w:tr>
      <w:tr>
        <w:tc>
          <w:tcPr>
            <w:shd/>
            <w:tcMar>
              <w:top w:type="dxa" w:w="50"/>
              <w:left w:type="dxa" w:w="80"/>
              <w:bottom w:type="dxa" w:w="50"/>
              <w:right w:type="dxa" w:w="80"/>
            </w:tcMar>
            <w:vAlign w:val="center"/>
          </w:tcPr>
          <w:p>
            <w:r>
              <w:rPr>
                <w:color w:val="1F2937"/>
                <w:sz w:val="18"/>
                <w:szCs w:val="18"/>
              </w:rPr>
              <w:t xml:space="preserve">veille_ai-act_2026-09-25</w:t>
            </w:r>
          </w:p>
        </w:tc>
        <w:tc>
          <w:tcPr>
            <w:shd/>
            <w:tcMar>
              <w:top w:type="dxa" w:w="50"/>
              <w:left w:type="dxa" w:w="80"/>
              <w:bottom w:type="dxa" w:w="50"/>
              <w:right w:type="dxa" w:w="80"/>
            </w:tcMar>
            <w:vAlign w:val="center"/>
          </w:tcPr>
          <w:p>
            <w:r>
              <w:rPr>
                <w:color w:val="1F2937"/>
                <w:sz w:val="18"/>
                <w:szCs w:val="18"/>
              </w:rPr>
              <w:t xml:space="preserve">ai-act-veille</w:t>
            </w:r>
          </w:p>
        </w:tc>
        <w:tc>
          <w:tcPr>
            <w:shd/>
            <w:tcMar>
              <w:top w:type="dxa" w:w="50"/>
              <w:left w:type="dxa" w:w="80"/>
              <w:bottom w:type="dxa" w:w="50"/>
              <w:right w:type="dxa" w:w="80"/>
            </w:tcMar>
            <w:vAlign w:val="center"/>
          </w:tcPr>
          <w:p>
            <w:r>
              <w:rPr>
                <w:color w:val="1F2937"/>
                <w:sz w:val="18"/>
                <w:szCs w:val="18"/>
              </w:rPr>
              <w:t xml:space="preserve">12 / 12</w:t>
            </w:r>
          </w:p>
        </w:tc>
        <w:tc>
          <w:tcPr>
            <w:shd/>
            <w:tcMar>
              <w:top w:type="dxa" w:w="50"/>
              <w:left w:type="dxa" w:w="80"/>
              <w:bottom w:type="dxa" w:w="50"/>
              <w:right w:type="dxa" w:w="80"/>
            </w:tcMar>
            <w:vAlign w:val="center"/>
          </w:tcPr>
          <w:p>
            <w:r>
              <w:rPr>
                <w:color w:val="1F2937"/>
                <w:sz w:val="18"/>
                <w:szCs w:val="18"/>
              </w:rPr>
              <w:t xml:space="preserve">0</w:t>
            </w:r>
          </w:p>
        </w:tc>
        <w:tc>
          <w:tcPr>
            <w:shd/>
            <w:tcMar>
              <w:top w:type="dxa" w:w="50"/>
              <w:left w:type="dxa" w:w="80"/>
              <w:bottom w:type="dxa" w:w="50"/>
              <w:right w:type="dxa" w:w="80"/>
            </w:tcMar>
            <w:vAlign w:val="center"/>
          </w:tcPr>
          <w:p>
            <w:r>
              <w:rPr>
                <w:color w:val="1F2937"/>
                <w:sz w:val="18"/>
                <w:szCs w:val="18"/>
              </w:rPr>
              <w:t xml:space="preserve">exit 0</w:t>
            </w:r>
          </w:p>
        </w:tc>
        <w:tc>
          <w:tcPr>
            <w:shd/>
            <w:tcMar>
              <w:top w:type="dxa" w:w="50"/>
              <w:left w:type="dxa" w:w="80"/>
              <w:bottom w:type="dxa" w:w="50"/>
              <w:right w:type="dxa" w:w="80"/>
            </w:tcMar>
            <w:vAlign w:val="center"/>
          </w:tcPr>
          <w:p>
            <w:r>
              <w:rPr>
                <w:color w:val="1F2937"/>
                <w:sz w:val="18"/>
                <w:szCs w:val="18"/>
              </w:rPr>
              <w:t xml:space="preserve">COHERENT</w:t>
            </w:r>
          </w:p>
        </w:tc>
        <w:tc>
          <w:tcPr>
            <w:shd/>
            <w:tcMar>
              <w:top w:type="dxa" w:w="50"/>
              <w:left w:type="dxa" w:w="80"/>
              <w:bottom w:type="dxa" w:w="50"/>
              <w:right w:type="dxa" w:w="80"/>
            </w:tcMar>
            <w:vAlign w:val="center"/>
          </w:tcPr>
          <w:p>
            <w:r>
              <w:rPr>
                <w:color w:val="1F2937"/>
                <w:sz w:val="18"/>
                <w:szCs w:val="18"/>
              </w:rPr>
              <w:t xml:space="preserve">Citations IAPP confirmées</w:t>
            </w:r>
          </w:p>
        </w:tc>
        <w:tc>
          <w:tcPr>
            <w:shd/>
            <w:tcMar>
              <w:top w:type="dxa" w:w="50"/>
              <w:left w:type="dxa" w:w="80"/>
              <w:bottom w:type="dxa" w:w="50"/>
              <w:right w:type="dxa" w:w="80"/>
            </w:tcMar>
            <w:vAlign w:val="center"/>
          </w:tcPr>
          <w:p>
            <w:r>
              <w:rPr>
                <w:color w:val="1F2937"/>
                <w:sz w:val="18"/>
                <w:szCs w:val="18"/>
              </w:rPr>
              <w:t xml:space="preserve">EUR-Lex 202 lisible, consilium 403</w:t>
            </w:r>
          </w:p>
        </w:tc>
        <w:tc>
          <w:tcPr>
            <w:shd/>
            <w:tcMar>
              <w:top w:type="dxa" w:w="50"/>
              <w:left w:type="dxa" w:w="80"/>
              <w:bottom w:type="dxa" w:w="50"/>
              <w:right w:type="dxa" w:w="80"/>
            </w:tcMar>
            <w:vAlign w:val="center"/>
          </w:tcPr>
          <w:p>
            <w:r>
              <w:rPr>
                <w:color w:val="1F2937"/>
                <w:sz w:val="18"/>
                <w:szCs w:val="18"/>
              </w:rPr>
              <w:t xml:space="preserve">Point de vigilance</w:t>
            </w:r>
          </w:p>
        </w:tc>
      </w:tr>
      <w:tr>
        <w:tc>
          <w:tcPr>
            <w:shd w:fill="EEF2F7" w:val="clear"/>
            <w:tcMar>
              <w:top w:type="dxa" w:w="50"/>
              <w:left w:type="dxa" w:w="80"/>
              <w:bottom w:type="dxa" w:w="50"/>
              <w:right w:type="dxa" w:w="80"/>
            </w:tcMar>
            <w:vAlign w:val="center"/>
          </w:tcPr>
          <w:p>
            <w:r>
              <w:rPr>
                <w:color w:val="1F2937"/>
                <w:sz w:val="18"/>
                <w:szCs w:val="18"/>
              </w:rPr>
              <w:t xml:space="preserve">lecon-appli-ia_09</w:t>
            </w:r>
          </w:p>
        </w:tc>
        <w:tc>
          <w:tcPr>
            <w:shd w:fill="EEF2F7" w:val="clear"/>
            <w:tcMar>
              <w:top w:type="dxa" w:w="50"/>
              <w:left w:type="dxa" w:w="80"/>
              <w:bottom w:type="dxa" w:w="50"/>
              <w:right w:type="dxa" w:w="80"/>
            </w:tcMar>
            <w:vAlign w:val="center"/>
          </w:tcPr>
          <w:p>
            <w:r>
              <w:rPr>
                <w:color w:val="1F2937"/>
                <w:sz w:val="18"/>
                <w:szCs w:val="18"/>
              </w:rPr>
              <w:t xml:space="preserve">appli-ia-lecon</w:t>
            </w:r>
          </w:p>
        </w:tc>
        <w:tc>
          <w:tcPr>
            <w:shd w:fill="EEF2F7" w:val="clear"/>
            <w:tcMar>
              <w:top w:type="dxa" w:w="50"/>
              <w:left w:type="dxa" w:w="80"/>
              <w:bottom w:type="dxa" w:w="50"/>
              <w:right w:type="dxa" w:w="80"/>
            </w:tcMar>
            <w:vAlign w:val="center"/>
          </w:tcPr>
          <w:p>
            <w:r>
              <w:rPr>
                <w:color w:val="1F2937"/>
                <w:sz w:val="18"/>
                <w:szCs w:val="18"/>
              </w:rPr>
              <w:t xml:space="preserve">4 / 4</w:t>
            </w:r>
          </w:p>
        </w:tc>
        <w:tc>
          <w:tcPr>
            <w:shd w:fill="EEF2F7" w:val="clear"/>
            <w:tcMar>
              <w:top w:type="dxa" w:w="50"/>
              <w:left w:type="dxa" w:w="80"/>
              <w:bottom w:type="dxa" w:w="50"/>
              <w:right w:type="dxa" w:w="80"/>
            </w:tcMar>
            <w:vAlign w:val="center"/>
          </w:tcPr>
          <w:p>
            <w:r>
              <w:rPr>
                <w:color w:val="1F2937"/>
                <w:sz w:val="18"/>
                <w:szCs w:val="18"/>
              </w:rPr>
              <w:t xml:space="preserve">0</w:t>
            </w:r>
          </w:p>
        </w:tc>
        <w:tc>
          <w:tcPr>
            <w:shd w:fill="EEF2F7" w:val="clear"/>
            <w:tcMar>
              <w:top w:type="dxa" w:w="50"/>
              <w:left w:type="dxa" w:w="80"/>
              <w:bottom w:type="dxa" w:w="50"/>
              <w:right w:type="dxa" w:w="80"/>
            </w:tcMar>
            <w:vAlign w:val="center"/>
          </w:tcPr>
          <w:p>
            <w:r>
              <w:rPr>
                <w:color w:val="1F2937"/>
                <w:sz w:val="18"/>
                <w:szCs w:val="18"/>
              </w:rPr>
              <w:t xml:space="preserve">exit 0</w:t>
            </w:r>
          </w:p>
        </w:tc>
        <w:tc>
          <w:tcPr>
            <w:shd w:fill="EEF2F7" w:val="clear"/>
            <w:tcMar>
              <w:top w:type="dxa" w:w="50"/>
              <w:left w:type="dxa" w:w="80"/>
              <w:bottom w:type="dxa" w:w="50"/>
              <w:right w:type="dxa" w:w="80"/>
            </w:tcMar>
            <w:vAlign w:val="center"/>
          </w:tcPr>
          <w:p>
            <w:r>
              <w:rPr>
                <w:color w:val="1F2937"/>
                <w:sz w:val="18"/>
                <w:szCs w:val="18"/>
              </w:rPr>
              <w:t xml:space="preserve">—</w:t>
            </w:r>
          </w:p>
        </w:tc>
        <w:tc>
          <w:tcPr>
            <w:shd w:fill="EEF2F7" w:val="clear"/>
            <w:tcMar>
              <w:top w:type="dxa" w:w="50"/>
              <w:left w:type="dxa" w:w="80"/>
              <w:bottom w:type="dxa" w:w="50"/>
              <w:right w:type="dxa" w:w="80"/>
            </w:tcMar>
            <w:vAlign w:val="center"/>
          </w:tcPr>
          <w:p>
            <w:r>
              <w:rPr>
                <w:color w:val="1F2937"/>
                <w:sz w:val="18"/>
                <w:szCs w:val="18"/>
              </w:rPr>
              <w:t xml:space="preserve">Versions Node.js CONFIRMEES nodejs.org</w:t>
            </w:r>
          </w:p>
        </w:tc>
        <w:tc>
          <w:tcPr>
            <w:shd w:fill="EEF2F7" w:val="clear"/>
            <w:tcMar>
              <w:top w:type="dxa" w:w="50"/>
              <w:left w:type="dxa" w:w="80"/>
              <w:bottom w:type="dxa" w:w="50"/>
              <w:right w:type="dxa" w:w="80"/>
            </w:tcMar>
            <w:vAlign w:val="center"/>
          </w:tcPr>
          <w:p>
            <w:r>
              <w:rPr>
                <w:color w:val="1F2937"/>
                <w:sz w:val="18"/>
                <w:szCs w:val="18"/>
              </w:rPr>
              <w:t xml:space="preserve">—</w:t>
            </w:r>
          </w:p>
        </w:tc>
        <w:tc>
          <w:tcPr>
            <w:shd w:fill="EEF2F7" w:val="clear"/>
            <w:tcMar>
              <w:top w:type="dxa" w:w="50"/>
              <w:left w:type="dxa" w:w="80"/>
              <w:bottom w:type="dxa" w:w="50"/>
              <w:right w:type="dxa" w:w="80"/>
            </w:tcMar>
            <w:vAlign w:val="center"/>
          </w:tcPr>
          <w:p>
            <w:r>
              <w:rPr>
                <w:color w:val="1F2937"/>
                <w:sz w:val="18"/>
                <w:szCs w:val="18"/>
              </w:rPr>
              <w:t xml:space="preserve">Rien à signaler</w:t>
            </w:r>
          </w:p>
        </w:tc>
      </w:tr>
      <w:tr>
        <w:tc>
          <w:tcPr>
            <w:shd/>
            <w:tcMar>
              <w:top w:type="dxa" w:w="50"/>
              <w:left w:type="dxa" w:w="80"/>
              <w:bottom w:type="dxa" w:w="50"/>
              <w:right w:type="dxa" w:w="80"/>
            </w:tcMar>
            <w:vAlign w:val="center"/>
          </w:tcPr>
          <w:p>
            <w:r>
              <w:rPr>
                <w:color w:val="1F2937"/>
                <w:sz w:val="18"/>
                <w:szCs w:val="18"/>
              </w:rPr>
              <w:t xml:space="preserve">lecon-astrologie-karmique_08</w:t>
            </w:r>
          </w:p>
        </w:tc>
        <w:tc>
          <w:tcPr>
            <w:shd/>
            <w:tcMar>
              <w:top w:type="dxa" w:w="50"/>
              <w:left w:type="dxa" w:w="80"/>
              <w:bottom w:type="dxa" w:w="50"/>
              <w:right w:type="dxa" w:w="80"/>
            </w:tcMar>
            <w:vAlign w:val="center"/>
          </w:tcPr>
          <w:p>
            <w:r>
              <w:rPr>
                <w:color w:val="1F2937"/>
                <w:sz w:val="18"/>
                <w:szCs w:val="18"/>
              </w:rPr>
              <w:t xml:space="preserve">astrologie-lecon</w:t>
            </w:r>
          </w:p>
        </w:tc>
        <w:tc>
          <w:tcPr>
            <w:shd/>
            <w:tcMar>
              <w:top w:type="dxa" w:w="50"/>
              <w:left w:type="dxa" w:w="80"/>
              <w:bottom w:type="dxa" w:w="50"/>
              <w:right w:type="dxa" w:w="80"/>
            </w:tcMar>
            <w:vAlign w:val="center"/>
          </w:tcPr>
          <w:p>
            <w:r>
              <w:rPr>
                <w:color w:val="1F2937"/>
                <w:sz w:val="18"/>
                <w:szCs w:val="18"/>
              </w:rPr>
              <w:t xml:space="preserve">8 / 8</w:t>
            </w:r>
          </w:p>
        </w:tc>
        <w:tc>
          <w:tcPr>
            <w:shd/>
            <w:tcMar>
              <w:top w:type="dxa" w:w="50"/>
              <w:left w:type="dxa" w:w="80"/>
              <w:bottom w:type="dxa" w:w="50"/>
              <w:right w:type="dxa" w:w="80"/>
            </w:tcMar>
            <w:vAlign w:val="center"/>
          </w:tcPr>
          <w:p>
            <w:r>
              <w:rPr>
                <w:color w:val="1F2937"/>
                <w:sz w:val="18"/>
                <w:szCs w:val="18"/>
              </w:rPr>
              <w:t xml:space="preserve">0</w:t>
            </w:r>
          </w:p>
        </w:tc>
        <w:tc>
          <w:tcPr>
            <w:shd/>
            <w:tcMar>
              <w:top w:type="dxa" w:w="50"/>
              <w:left w:type="dxa" w:w="80"/>
              <w:bottom w:type="dxa" w:w="50"/>
              <w:right w:type="dxa" w:w="80"/>
            </w:tcMar>
            <w:vAlign w:val="center"/>
          </w:tcPr>
          <w:p>
            <w:r>
              <w:rPr>
                <w:color w:val="1F2937"/>
                <w:sz w:val="18"/>
                <w:szCs w:val="18"/>
              </w:rPr>
              <w:t xml:space="preserve">exit 0</w:t>
            </w:r>
          </w:p>
        </w:tc>
        <w:tc>
          <w:tcPr>
            <w:shd/>
            <w:tcMar>
              <w:top w:type="dxa" w:w="50"/>
              <w:left w:type="dxa" w:w="80"/>
              <w:bottom w:type="dxa" w:w="50"/>
              <w:right w:type="dxa" w:w="80"/>
            </w:tcMar>
            <w:vAlign w:val="center"/>
          </w:tcPr>
          <w:p>
            <w:r>
              <w:rPr>
                <w:color w:val="1F2937"/>
                <w:sz w:val="18"/>
                <w:szCs w:val="18"/>
              </w:rPr>
              <w:t xml:space="preserve">—</w:t>
            </w:r>
          </w:p>
        </w:tc>
        <w:tc>
          <w:tcPr>
            <w:shd/>
            <w:tcMar>
              <w:top w:type="dxa" w:w="50"/>
              <w:left w:type="dxa" w:w="80"/>
              <w:bottom w:type="dxa" w:w="50"/>
              <w:right w:type="dxa" w:w="80"/>
            </w:tcMar>
            <w:vAlign w:val="center"/>
          </w:tcPr>
          <w:p>
            <w:r>
              <w:rPr>
                <w:color w:val="1F2937"/>
                <w:sz w:val="18"/>
                <w:szCs w:val="18"/>
              </w:rPr>
              <w:t xml:space="preserve">Citations NASA/obspm OK</w:t>
            </w:r>
          </w:p>
        </w:tc>
        <w:tc>
          <w:tcPr>
            <w:shd/>
            <w:tcMar>
              <w:top w:type="dxa" w:w="50"/>
              <w:left w:type="dxa" w:w="80"/>
              <w:bottom w:type="dxa" w:w="50"/>
              <w:right w:type="dxa" w:w="80"/>
            </w:tcMar>
            <w:vAlign w:val="center"/>
          </w:tcPr>
          <w:p>
            <w:r>
              <w:rPr>
                <w:color w:val="1F2937"/>
                <w:sz w:val="18"/>
                <w:szCs w:val="18"/>
              </w:rPr>
              <w:t xml:space="preserve">PDF journalpsyche.org non analysé</w:t>
            </w:r>
          </w:p>
        </w:tc>
        <w:tc>
          <w:tcPr>
            <w:shd/>
            <w:tcMar>
              <w:top w:type="dxa" w:w="50"/>
              <w:left w:type="dxa" w:w="80"/>
              <w:bottom w:type="dxa" w:w="50"/>
              <w:right w:type="dxa" w:w="80"/>
            </w:tcMar>
            <w:vAlign w:val="center"/>
          </w:tcPr>
          <w:p>
            <w:r>
              <w:rPr>
                <w:color w:val="1F2937"/>
                <w:sz w:val="18"/>
                <w:szCs w:val="18"/>
              </w:rPr>
              <w:t xml:space="preserve">Point de vigilance</w:t>
            </w:r>
          </w:p>
        </w:tc>
      </w:tr>
      <w:tr>
        <w:tc>
          <w:tcPr>
            <w:shd w:fill="EEF2F7" w:val="clear"/>
            <w:tcMar>
              <w:top w:type="dxa" w:w="50"/>
              <w:left w:type="dxa" w:w="80"/>
              <w:bottom w:type="dxa" w:w="50"/>
              <w:right w:type="dxa" w:w="80"/>
            </w:tcMar>
            <w:vAlign w:val="center"/>
          </w:tcPr>
          <w:p>
            <w:r>
              <w:rPr>
                <w:color w:val="1F2937"/>
                <w:sz w:val="18"/>
                <w:szCs w:val="18"/>
              </w:rPr>
              <w:t xml:space="preserve">lecon-stoicisme_16</w:t>
            </w:r>
          </w:p>
        </w:tc>
        <w:tc>
          <w:tcPr>
            <w:shd w:fill="EEF2F7" w:val="clear"/>
            <w:tcMar>
              <w:top w:type="dxa" w:w="50"/>
              <w:left w:type="dxa" w:w="80"/>
              <w:bottom w:type="dxa" w:w="50"/>
              <w:right w:type="dxa" w:w="80"/>
            </w:tcMar>
            <w:vAlign w:val="center"/>
          </w:tcPr>
          <w:p>
            <w:r>
              <w:rPr>
                <w:color w:val="1F2937"/>
                <w:sz w:val="18"/>
                <w:szCs w:val="18"/>
              </w:rPr>
              <w:t xml:space="preserve">stoicisme-lecon</w:t>
            </w:r>
          </w:p>
        </w:tc>
        <w:tc>
          <w:tcPr>
            <w:shd w:fill="EEF2F7" w:val="clear"/>
            <w:tcMar>
              <w:top w:type="dxa" w:w="50"/>
              <w:left w:type="dxa" w:w="80"/>
              <w:bottom w:type="dxa" w:w="50"/>
              <w:right w:type="dxa" w:w="80"/>
            </w:tcMar>
            <w:vAlign w:val="center"/>
          </w:tcPr>
          <w:p>
            <w:r>
              <w:rPr>
                <w:color w:val="1F2937"/>
                <w:sz w:val="18"/>
                <w:szCs w:val="18"/>
              </w:rPr>
              <w:t xml:space="preserve">9 / 9</w:t>
            </w:r>
          </w:p>
        </w:tc>
        <w:tc>
          <w:tcPr>
            <w:shd w:fill="EEF2F7" w:val="clear"/>
            <w:tcMar>
              <w:top w:type="dxa" w:w="50"/>
              <w:left w:type="dxa" w:w="80"/>
              <w:bottom w:type="dxa" w:w="50"/>
              <w:right w:type="dxa" w:w="80"/>
            </w:tcMar>
            <w:vAlign w:val="center"/>
          </w:tcPr>
          <w:p>
            <w:r>
              <w:rPr>
                <w:color w:val="1F2937"/>
                <w:sz w:val="18"/>
                <w:szCs w:val="18"/>
              </w:rPr>
              <w:t xml:space="preserve">0</w:t>
            </w:r>
          </w:p>
        </w:tc>
        <w:tc>
          <w:tcPr>
            <w:shd w:fill="EEF2F7" w:val="clear"/>
            <w:tcMar>
              <w:top w:type="dxa" w:w="50"/>
              <w:left w:type="dxa" w:w="80"/>
              <w:bottom w:type="dxa" w:w="50"/>
              <w:right w:type="dxa" w:w="80"/>
            </w:tcMar>
            <w:vAlign w:val="center"/>
          </w:tcPr>
          <w:p>
            <w:r>
              <w:rPr>
                <w:color w:val="1F2937"/>
                <w:sz w:val="18"/>
                <w:szCs w:val="18"/>
              </w:rPr>
              <w:t xml:space="preserve">exit 0</w:t>
            </w:r>
          </w:p>
        </w:tc>
        <w:tc>
          <w:tcPr>
            <w:shd w:fill="EEF2F7" w:val="clear"/>
            <w:tcMar>
              <w:top w:type="dxa" w:w="50"/>
              <w:left w:type="dxa" w:w="80"/>
              <w:bottom w:type="dxa" w:w="50"/>
              <w:right w:type="dxa" w:w="80"/>
            </w:tcMar>
            <w:vAlign w:val="center"/>
          </w:tcPr>
          <w:p>
            <w:r>
              <w:rPr>
                <w:color w:val="1F2937"/>
                <w:sz w:val="18"/>
                <w:szCs w:val="18"/>
              </w:rPr>
              <w:t xml:space="preserve">—</w:t>
            </w:r>
          </w:p>
        </w:tc>
        <w:tc>
          <w:tcPr>
            <w:shd w:fill="EEF2F7" w:val="clear"/>
            <w:tcMar>
              <w:top w:type="dxa" w:w="50"/>
              <w:left w:type="dxa" w:w="80"/>
              <w:bottom w:type="dxa" w:w="50"/>
              <w:right w:type="dxa" w:w="80"/>
            </w:tcMar>
            <w:vAlign w:val="center"/>
          </w:tcPr>
          <w:p>
            <w:r>
              <w:rPr>
                <w:color w:val="1F2937"/>
                <w:sz w:val="18"/>
                <w:szCs w:val="18"/>
              </w:rPr>
              <w:t xml:space="preserve">5 citations anglaises OK</w:t>
            </w:r>
          </w:p>
        </w:tc>
        <w:tc>
          <w:tcPr>
            <w:shd w:fill="EEF2F7" w:val="clear"/>
            <w:tcMar>
              <w:top w:type="dxa" w:w="50"/>
              <w:left w:type="dxa" w:w="80"/>
              <w:bottom w:type="dxa" w:w="50"/>
              <w:right w:type="dxa" w:w="80"/>
            </w:tcMar>
            <w:vAlign w:val="center"/>
          </w:tcPr>
          <w:p>
            <w:r>
              <w:rPr>
                <w:color w:val="1F2937"/>
                <w:sz w:val="18"/>
                <w:szCs w:val="18"/>
              </w:rPr>
              <w:t xml:space="preserve">—</w:t>
            </w:r>
          </w:p>
        </w:tc>
        <w:tc>
          <w:tcPr>
            <w:shd w:fill="EEF2F7" w:val="clear"/>
            <w:tcMar>
              <w:top w:type="dxa" w:w="50"/>
              <w:left w:type="dxa" w:w="80"/>
              <w:bottom w:type="dxa" w:w="50"/>
              <w:right w:type="dxa" w:w="80"/>
            </w:tcMar>
            <w:vAlign w:val="center"/>
          </w:tcPr>
          <w:p>
            <w:r>
              <w:rPr>
                <w:color w:val="1F2937"/>
                <w:sz w:val="18"/>
                <w:szCs w:val="18"/>
              </w:rPr>
              <w:t xml:space="preserve">Rien à signaler</w:t>
            </w:r>
          </w:p>
        </w:tc>
      </w:tr>
      <w:tr>
        <w:tc>
          <w:tcPr>
            <w:shd/>
            <w:tcMar>
              <w:top w:type="dxa" w:w="50"/>
              <w:left w:type="dxa" w:w="80"/>
              <w:bottom w:type="dxa" w:w="50"/>
              <w:right w:type="dxa" w:w="80"/>
            </w:tcMar>
            <w:vAlign w:val="center"/>
          </w:tcPr>
          <w:p>
            <w:r>
              <w:rPr>
                <w:color w:val="1F2937"/>
                <w:sz w:val="18"/>
                <w:szCs w:val="18"/>
              </w:rPr>
              <w:t xml:space="preserve">lecon-enneagramme_17</w:t>
            </w:r>
          </w:p>
        </w:tc>
        <w:tc>
          <w:tcPr>
            <w:shd/>
            <w:tcMar>
              <w:top w:type="dxa" w:w="50"/>
              <w:left w:type="dxa" w:w="80"/>
              <w:bottom w:type="dxa" w:w="50"/>
              <w:right w:type="dxa" w:w="80"/>
            </w:tcMar>
            <w:vAlign w:val="center"/>
          </w:tcPr>
          <w:p>
            <w:r>
              <w:rPr>
                <w:color w:val="1F2937"/>
                <w:sz w:val="18"/>
                <w:szCs w:val="18"/>
              </w:rPr>
              <w:t xml:space="preserve">enneagramme-lecon</w:t>
            </w:r>
          </w:p>
        </w:tc>
        <w:tc>
          <w:tcPr>
            <w:shd/>
            <w:tcMar>
              <w:top w:type="dxa" w:w="50"/>
              <w:left w:type="dxa" w:w="80"/>
              <w:bottom w:type="dxa" w:w="50"/>
              <w:right w:type="dxa" w:w="80"/>
            </w:tcMar>
            <w:vAlign w:val="center"/>
          </w:tcPr>
          <w:p>
            <w:r>
              <w:rPr>
                <w:color w:val="1F2937"/>
                <w:sz w:val="18"/>
                <w:szCs w:val="18"/>
              </w:rPr>
              <w:t xml:space="preserve">4 / 4</w:t>
            </w:r>
          </w:p>
        </w:tc>
        <w:tc>
          <w:tcPr>
            <w:shd/>
            <w:tcMar>
              <w:top w:type="dxa" w:w="50"/>
              <w:left w:type="dxa" w:w="80"/>
              <w:bottom w:type="dxa" w:w="50"/>
              <w:right w:type="dxa" w:w="80"/>
            </w:tcMar>
            <w:vAlign w:val="center"/>
          </w:tcPr>
          <w:p>
            <w:r>
              <w:rPr>
                <w:color w:val="1F2937"/>
                <w:sz w:val="18"/>
                <w:szCs w:val="18"/>
              </w:rPr>
              <w:t xml:space="preserve">0</w:t>
            </w:r>
          </w:p>
        </w:tc>
        <w:tc>
          <w:tcPr>
            <w:shd/>
            <w:tcMar>
              <w:top w:type="dxa" w:w="50"/>
              <w:left w:type="dxa" w:w="80"/>
              <w:bottom w:type="dxa" w:w="50"/>
              <w:right w:type="dxa" w:w="80"/>
            </w:tcMar>
            <w:vAlign w:val="center"/>
          </w:tcPr>
          <w:p>
            <w:r>
              <w:rPr>
                <w:color w:val="1F2937"/>
                <w:sz w:val="18"/>
                <w:szCs w:val="18"/>
              </w:rPr>
              <w:t xml:space="preserve">exit 0</w:t>
            </w:r>
          </w:p>
        </w:tc>
        <w:tc>
          <w:tcPr>
            <w:shd/>
            <w:tcMar>
              <w:top w:type="dxa" w:w="50"/>
              <w:left w:type="dxa" w:w="80"/>
              <w:bottom w:type="dxa" w:w="50"/>
              <w:right w:type="dxa" w:w="80"/>
            </w:tcMar>
            <w:vAlign w:val="center"/>
          </w:tcPr>
          <w:p>
            <w:r>
              <w:rPr>
                <w:color w:val="1F2937"/>
                <w:sz w:val="18"/>
                <w:szCs w:val="18"/>
              </w:rPr>
              <w:t xml:space="preserve">—</w:t>
            </w:r>
          </w:p>
        </w:tc>
        <w:tc>
          <w:tcPr>
            <w:shd/>
            <w:tcMar>
              <w:top w:type="dxa" w:w="50"/>
              <w:left w:type="dxa" w:w="80"/>
              <w:bottom w:type="dxa" w:w="50"/>
              <w:right w:type="dxa" w:w="80"/>
            </w:tcMar>
            <w:vAlign w:val="center"/>
          </w:tcPr>
          <w:p>
            <w:r>
              <w:rPr>
                <w:color w:val="1F2937"/>
                <w:sz w:val="18"/>
                <w:szCs w:val="18"/>
              </w:rPr>
              <w:t xml:space="preserve">4 citations OK</w:t>
            </w:r>
          </w:p>
        </w:tc>
        <w:tc>
          <w:tcPr>
            <w:shd/>
            <w:tcMar>
              <w:top w:type="dxa" w:w="50"/>
              <w:left w:type="dxa" w:w="80"/>
              <w:bottom w:type="dxa" w:w="50"/>
              <w:right w:type="dxa" w:w="80"/>
            </w:tcMar>
            <w:vAlign w:val="center"/>
          </w:tcPr>
          <w:p>
            <w:r>
              <w:rPr>
                <w:color w:val="1F2937"/>
                <w:sz w:val="18"/>
                <w:szCs w:val="18"/>
              </w:rPr>
              <w:t xml:space="preserve">1 page JS (1 699 car.)</w:t>
            </w:r>
          </w:p>
        </w:tc>
        <w:tc>
          <w:tcPr>
            <w:shd/>
            <w:tcMar>
              <w:top w:type="dxa" w:w="50"/>
              <w:left w:type="dxa" w:w="80"/>
              <w:bottom w:type="dxa" w:w="50"/>
              <w:right w:type="dxa" w:w="80"/>
            </w:tcMar>
            <w:vAlign w:val="center"/>
          </w:tcPr>
          <w:p>
            <w:r>
              <w:rPr>
                <w:color w:val="1F2937"/>
                <w:sz w:val="18"/>
                <w:szCs w:val="18"/>
              </w:rPr>
              <w:t xml:space="preserve">Point de vigilance</w:t>
            </w:r>
          </w:p>
        </w:tc>
      </w:tr>
      <w:tr>
        <w:tc>
          <w:tcPr>
            <w:shd w:fill="EEF2F7" w:val="clear"/>
            <w:tcMar>
              <w:top w:type="dxa" w:w="50"/>
              <w:left w:type="dxa" w:w="80"/>
              <w:bottom w:type="dxa" w:w="50"/>
              <w:right w:type="dxa" w:w="80"/>
            </w:tcMar>
            <w:vAlign w:val="center"/>
          </w:tcPr>
          <w:p>
            <w:r>
              <w:rPr>
                <w:color w:val="1F2937"/>
                <w:sz w:val="18"/>
                <w:szCs w:val="18"/>
              </w:rPr>
              <w:t xml:space="preserve">veille-SERAFIN-PH_2026-09-23</w:t>
            </w:r>
          </w:p>
        </w:tc>
        <w:tc>
          <w:tcPr>
            <w:shd w:fill="EEF2F7" w:val="clear"/>
            <w:tcMar>
              <w:top w:type="dxa" w:w="50"/>
              <w:left w:type="dxa" w:w="80"/>
              <w:bottom w:type="dxa" w:w="50"/>
              <w:right w:type="dxa" w:w="80"/>
            </w:tcMar>
            <w:vAlign w:val="center"/>
          </w:tcPr>
          <w:p>
            <w:r>
              <w:rPr>
                <w:color w:val="1F2937"/>
                <w:sz w:val="18"/>
                <w:szCs w:val="18"/>
              </w:rPr>
              <w:t xml:space="preserve">serafin-ph-veille</w:t>
            </w:r>
          </w:p>
        </w:tc>
        <w:tc>
          <w:tcPr>
            <w:shd w:fill="EEF2F7" w:val="clear"/>
            <w:tcMar>
              <w:top w:type="dxa" w:w="50"/>
              <w:left w:type="dxa" w:w="80"/>
              <w:bottom w:type="dxa" w:w="50"/>
              <w:right w:type="dxa" w:w="80"/>
            </w:tcMar>
            <w:vAlign w:val="center"/>
          </w:tcPr>
          <w:p>
            <w:r>
              <w:rPr>
                <w:color w:val="1F2937"/>
                <w:sz w:val="18"/>
                <w:szCs w:val="18"/>
              </w:rPr>
              <w:t xml:space="preserve">5 / 5</w:t>
            </w:r>
          </w:p>
        </w:tc>
        <w:tc>
          <w:tcPr>
            <w:shd w:fill="EEF2F7" w:val="clear"/>
            <w:tcMar>
              <w:top w:type="dxa" w:w="50"/>
              <w:left w:type="dxa" w:w="80"/>
              <w:bottom w:type="dxa" w:w="50"/>
              <w:right w:type="dxa" w:w="80"/>
            </w:tcMar>
            <w:vAlign w:val="center"/>
          </w:tcPr>
          <w:p>
            <w:r>
              <w:rPr>
                <w:color w:val="1F2937"/>
                <w:sz w:val="18"/>
                <w:szCs w:val="18"/>
              </w:rPr>
              <w:t xml:space="preserve">0</w:t>
            </w:r>
          </w:p>
        </w:tc>
        <w:tc>
          <w:tcPr>
            <w:shd w:fill="EEF2F7" w:val="clear"/>
            <w:tcMar>
              <w:top w:type="dxa" w:w="50"/>
              <w:left w:type="dxa" w:w="80"/>
              <w:bottom w:type="dxa" w:w="50"/>
              <w:right w:type="dxa" w:w="80"/>
            </w:tcMar>
            <w:vAlign w:val="center"/>
          </w:tcPr>
          <w:p>
            <w:r>
              <w:rPr>
                <w:color w:val="1F2937"/>
                <w:sz w:val="18"/>
                <w:szCs w:val="18"/>
              </w:rPr>
              <w:t xml:space="preserve">exit 0</w:t>
            </w:r>
          </w:p>
        </w:tc>
        <w:tc>
          <w:tcPr>
            <w:shd w:fill="EEF2F7" w:val="clear"/>
            <w:tcMar>
              <w:top w:type="dxa" w:w="50"/>
              <w:left w:type="dxa" w:w="80"/>
              <w:bottom w:type="dxa" w:w="50"/>
              <w:right w:type="dxa" w:w="80"/>
            </w:tcMar>
            <w:vAlign w:val="center"/>
          </w:tcPr>
          <w:p>
            <w:r>
              <w:rPr>
                <w:color w:val="1F2937"/>
                <w:sz w:val="18"/>
                <w:szCs w:val="18"/>
              </w:rPr>
              <w:t xml:space="preserve">COHERENT</w:t>
            </w:r>
          </w:p>
        </w:tc>
        <w:tc>
          <w:tcPr>
            <w:shd w:fill="EEF2F7" w:val="clear"/>
            <w:tcMar>
              <w:top w:type="dxa" w:w="50"/>
              <w:left w:type="dxa" w:w="80"/>
              <w:bottom w:type="dxa" w:w="50"/>
              <w:right w:type="dxa" w:w="80"/>
            </w:tcMar>
            <w:vAlign w:val="center"/>
          </w:tcPr>
          <w:p>
            <w:r>
              <w:rPr>
                <w:color w:val="1F2937"/>
                <w:sz w:val="18"/>
                <w:szCs w:val="18"/>
              </w:rPr>
              <w:t xml:space="preserve">1er janv. 2027 CONFIRME handicap.gouv.fr</w:t>
            </w:r>
          </w:p>
        </w:tc>
        <w:tc>
          <w:tcPr>
            <w:shd w:fill="EEF2F7" w:val="clear"/>
            <w:tcMar>
              <w:top w:type="dxa" w:w="50"/>
              <w:left w:type="dxa" w:w="80"/>
              <w:bottom w:type="dxa" w:w="50"/>
              <w:right w:type="dxa" w:w="80"/>
            </w:tcMar>
            <w:vAlign w:val="center"/>
          </w:tcPr>
          <w:p>
            <w:r>
              <w:rPr>
                <w:color w:val="1F2937"/>
                <w:sz w:val="18"/>
                <w:szCs w:val="18"/>
              </w:rPr>
              <w:t xml:space="preserve">Décret n°2026-376 Légifrance 403</w:t>
            </w:r>
          </w:p>
        </w:tc>
        <w:tc>
          <w:tcPr>
            <w:shd w:fill="EEF2F7" w:val="clear"/>
            <w:tcMar>
              <w:top w:type="dxa" w:w="50"/>
              <w:left w:type="dxa" w:w="80"/>
              <w:bottom w:type="dxa" w:w="50"/>
              <w:right w:type="dxa" w:w="80"/>
            </w:tcMar>
            <w:vAlign w:val="center"/>
          </w:tcPr>
          <w:p>
            <w:r>
              <w:rPr>
                <w:color w:val="1F2937"/>
                <w:sz w:val="18"/>
                <w:szCs w:val="18"/>
              </w:rPr>
              <w:t xml:space="preserve">Point de vigilance</w:t>
            </w:r>
          </w:p>
        </w:tc>
      </w:tr>
      <w:tr>
        <w:tc>
          <w:tcPr>
            <w:shd/>
            <w:tcMar>
              <w:top w:type="dxa" w:w="50"/>
              <w:left w:type="dxa" w:w="80"/>
              <w:bottom w:type="dxa" w:w="50"/>
              <w:right w:type="dxa" w:w="80"/>
            </w:tcMar>
            <w:vAlign w:val="center"/>
          </w:tcPr>
          <w:p>
            <w:r>
              <w:rPr>
                <w:color w:val="1F2937"/>
                <w:sz w:val="18"/>
                <w:szCs w:val="18"/>
              </w:rPr>
              <w:t xml:space="preserve">lecon-hypnose_15</w:t>
            </w:r>
          </w:p>
        </w:tc>
        <w:tc>
          <w:tcPr>
            <w:shd/>
            <w:tcMar>
              <w:top w:type="dxa" w:w="50"/>
              <w:left w:type="dxa" w:w="80"/>
              <w:bottom w:type="dxa" w:w="50"/>
              <w:right w:type="dxa" w:w="80"/>
            </w:tcMar>
            <w:vAlign w:val="center"/>
          </w:tcPr>
          <w:p>
            <w:r>
              <w:rPr>
                <w:color w:val="1F2937"/>
                <w:sz w:val="18"/>
                <w:szCs w:val="18"/>
              </w:rPr>
              <w:t xml:space="preserve">hypnose-lecon</w:t>
            </w:r>
          </w:p>
        </w:tc>
        <w:tc>
          <w:tcPr>
            <w:shd/>
            <w:tcMar>
              <w:top w:type="dxa" w:w="50"/>
              <w:left w:type="dxa" w:w="80"/>
              <w:bottom w:type="dxa" w:w="50"/>
              <w:right w:type="dxa" w:w="80"/>
            </w:tcMar>
            <w:vAlign w:val="center"/>
          </w:tcPr>
          <w:p>
            <w:r>
              <w:rPr>
                <w:color w:val="1F2937"/>
                <w:sz w:val="18"/>
                <w:szCs w:val="18"/>
              </w:rPr>
              <w:t xml:space="preserve">10 / 10</w:t>
            </w:r>
          </w:p>
        </w:tc>
        <w:tc>
          <w:tcPr>
            <w:shd/>
            <w:tcMar>
              <w:top w:type="dxa" w:w="50"/>
              <w:left w:type="dxa" w:w="80"/>
              <w:bottom w:type="dxa" w:w="50"/>
              <w:right w:type="dxa" w:w="80"/>
            </w:tcMar>
            <w:vAlign w:val="center"/>
          </w:tcPr>
          <w:p>
            <w:r>
              <w:rPr>
                <w:color w:val="1F2937"/>
                <w:sz w:val="18"/>
                <w:szCs w:val="18"/>
              </w:rPr>
              <w:t xml:space="preserve">0</w:t>
            </w:r>
          </w:p>
        </w:tc>
        <w:tc>
          <w:tcPr>
            <w:shd/>
            <w:tcMar>
              <w:top w:type="dxa" w:w="50"/>
              <w:left w:type="dxa" w:w="80"/>
              <w:bottom w:type="dxa" w:w="50"/>
              <w:right w:type="dxa" w:w="80"/>
            </w:tcMar>
            <w:vAlign w:val="center"/>
          </w:tcPr>
          <w:p>
            <w:r>
              <w:rPr>
                <w:color w:val="1F2937"/>
                <w:sz w:val="18"/>
                <w:szCs w:val="18"/>
              </w:rPr>
              <w:t xml:space="preserve">exit 0</w:t>
            </w:r>
          </w:p>
        </w:tc>
        <w:tc>
          <w:tcPr>
            <w:shd/>
            <w:tcMar>
              <w:top w:type="dxa" w:w="50"/>
              <w:left w:type="dxa" w:w="80"/>
              <w:bottom w:type="dxa" w:w="50"/>
              <w:right w:type="dxa" w:w="80"/>
            </w:tcMar>
            <w:vAlign w:val="center"/>
          </w:tcPr>
          <w:p>
            <w:r>
              <w:rPr>
                <w:color w:val="1F2937"/>
                <w:sz w:val="18"/>
                <w:szCs w:val="18"/>
              </w:rPr>
              <w:t xml:space="preserve">—</w:t>
            </w:r>
          </w:p>
        </w:tc>
        <w:tc>
          <w:tcPr>
            <w:shd/>
            <w:tcMar>
              <w:top w:type="dxa" w:w="50"/>
              <w:left w:type="dxa" w:w="80"/>
              <w:bottom w:type="dxa" w:w="50"/>
              <w:right w:type="dxa" w:w="80"/>
            </w:tcMar>
            <w:vAlign w:val="center"/>
          </w:tcPr>
          <w:p>
            <w:r>
              <w:rPr>
                <w:color w:val="1F2937"/>
                <w:sz w:val="18"/>
                <w:szCs w:val="18"/>
              </w:rPr>
              <w:t xml:space="preserve">4 PMC confirmées</w:t>
            </w:r>
          </w:p>
        </w:tc>
        <w:tc>
          <w:tcPr>
            <w:shd/>
            <w:tcMar>
              <w:top w:type="dxa" w:w="50"/>
              <w:left w:type="dxa" w:w="80"/>
              <w:bottom w:type="dxa" w:w="50"/>
              <w:right w:type="dxa" w:w="80"/>
            </w:tcMar>
            <w:vAlign w:val="center"/>
          </w:tcPr>
          <w:p>
            <w:r>
              <w:rPr>
                <w:color w:val="1F2937"/>
                <w:sz w:val="18"/>
                <w:szCs w:val="18"/>
              </w:rPr>
              <w:t xml:space="preserve">ishhypnosis 406/lisible, PDF HAS</w:t>
            </w:r>
          </w:p>
        </w:tc>
        <w:tc>
          <w:tcPr>
            <w:shd/>
            <w:tcMar>
              <w:top w:type="dxa" w:w="50"/>
              <w:left w:type="dxa" w:w="80"/>
              <w:bottom w:type="dxa" w:w="50"/>
              <w:right w:type="dxa" w:w="80"/>
            </w:tcMar>
            <w:vAlign w:val="center"/>
          </w:tcPr>
          <w:p>
            <w:r>
              <w:rPr>
                <w:color w:val="1F2937"/>
                <w:sz w:val="18"/>
                <w:szCs w:val="18"/>
              </w:rPr>
              <w:t xml:space="preserve">Point de vigilance</w:t>
            </w:r>
          </w:p>
        </w:tc>
      </w:tr>
      <w:tr>
        <w:tc>
          <w:tcPr>
            <w:shd w:fill="EEF2F7" w:val="clear"/>
            <w:tcMar>
              <w:top w:type="dxa" w:w="50"/>
              <w:left w:type="dxa" w:w="80"/>
              <w:bottom w:type="dxa" w:w="50"/>
              <w:right w:type="dxa" w:w="80"/>
            </w:tcMar>
            <w:vAlign w:val="center"/>
          </w:tcPr>
          <w:p>
            <w:r>
              <w:rPr>
                <w:color w:val="1F2937"/>
                <w:sz w:val="18"/>
                <w:szCs w:val="18"/>
              </w:rPr>
              <w:t xml:space="preserve">lecon-dzogchen_17</w:t>
            </w:r>
          </w:p>
        </w:tc>
        <w:tc>
          <w:tcPr>
            <w:shd w:fill="EEF2F7" w:val="clear"/>
            <w:tcMar>
              <w:top w:type="dxa" w:w="50"/>
              <w:left w:type="dxa" w:w="80"/>
              <w:bottom w:type="dxa" w:w="50"/>
              <w:right w:type="dxa" w:w="80"/>
            </w:tcMar>
            <w:vAlign w:val="center"/>
          </w:tcPr>
          <w:p>
            <w:r>
              <w:rPr>
                <w:color w:val="1F2937"/>
                <w:sz w:val="18"/>
                <w:szCs w:val="18"/>
              </w:rPr>
              <w:t xml:space="preserve">dzogchen-lecon</w:t>
            </w:r>
          </w:p>
        </w:tc>
        <w:tc>
          <w:tcPr>
            <w:shd w:fill="EEF2F7" w:val="clear"/>
            <w:tcMar>
              <w:top w:type="dxa" w:w="50"/>
              <w:left w:type="dxa" w:w="80"/>
              <w:bottom w:type="dxa" w:w="50"/>
              <w:right w:type="dxa" w:w="80"/>
            </w:tcMar>
            <w:vAlign w:val="center"/>
          </w:tcPr>
          <w:p>
            <w:r>
              <w:rPr>
                <w:color w:val="1F2937"/>
                <w:sz w:val="18"/>
                <w:szCs w:val="18"/>
              </w:rPr>
              <w:t xml:space="preserve">9 / 9</w:t>
            </w:r>
          </w:p>
        </w:tc>
        <w:tc>
          <w:tcPr>
            <w:shd w:fill="EEF2F7" w:val="clear"/>
            <w:tcMar>
              <w:top w:type="dxa" w:w="50"/>
              <w:left w:type="dxa" w:w="80"/>
              <w:bottom w:type="dxa" w:w="50"/>
              <w:right w:type="dxa" w:w="80"/>
            </w:tcMar>
            <w:vAlign w:val="center"/>
          </w:tcPr>
          <w:p>
            <w:r>
              <w:rPr>
                <w:color w:val="1F2937"/>
                <w:sz w:val="18"/>
                <w:szCs w:val="18"/>
              </w:rPr>
              <w:t xml:space="preserve">0</w:t>
            </w:r>
          </w:p>
        </w:tc>
        <w:tc>
          <w:tcPr>
            <w:shd w:fill="EEF2F7" w:val="clear"/>
            <w:tcMar>
              <w:top w:type="dxa" w:w="50"/>
              <w:left w:type="dxa" w:w="80"/>
              <w:bottom w:type="dxa" w:w="50"/>
              <w:right w:type="dxa" w:w="80"/>
            </w:tcMar>
            <w:vAlign w:val="center"/>
          </w:tcPr>
          <w:p>
            <w:r>
              <w:rPr>
                <w:color w:val="1F2937"/>
                <w:sz w:val="18"/>
                <w:szCs w:val="18"/>
              </w:rPr>
              <w:t xml:space="preserve">exit 0</w:t>
            </w:r>
          </w:p>
        </w:tc>
        <w:tc>
          <w:tcPr>
            <w:shd w:fill="EEF2F7" w:val="clear"/>
            <w:tcMar>
              <w:top w:type="dxa" w:w="50"/>
              <w:left w:type="dxa" w:w="80"/>
              <w:bottom w:type="dxa" w:w="50"/>
              <w:right w:type="dxa" w:w="80"/>
            </w:tcMar>
            <w:vAlign w:val="center"/>
          </w:tcPr>
          <w:p>
            <w:r>
              <w:rPr>
                <w:color w:val="1F2937"/>
                <w:sz w:val="18"/>
                <w:szCs w:val="18"/>
              </w:rPr>
              <w:t xml:space="preserve">—</w:t>
            </w:r>
          </w:p>
        </w:tc>
        <w:tc>
          <w:tcPr>
            <w:shd w:fill="EEF2F7" w:val="clear"/>
            <w:tcMar>
              <w:top w:type="dxa" w:w="50"/>
              <w:left w:type="dxa" w:w="80"/>
              <w:bottom w:type="dxa" w:w="50"/>
              <w:right w:type="dxa" w:w="80"/>
            </w:tcMar>
            <w:vAlign w:val="center"/>
          </w:tcPr>
          <w:p>
            <w:r>
              <w:rPr>
                <w:color w:val="1F2937"/>
                <w:sz w:val="18"/>
                <w:szCs w:val="18"/>
              </w:rPr>
              <w:t xml:space="preserve">13 citations anglaises OK</w:t>
            </w:r>
          </w:p>
        </w:tc>
        <w:tc>
          <w:tcPr>
            <w:shd w:fill="EEF2F7" w:val="clear"/>
            <w:tcMar>
              <w:top w:type="dxa" w:w="50"/>
              <w:left w:type="dxa" w:w="80"/>
              <w:bottom w:type="dxa" w:w="50"/>
              <w:right w:type="dxa" w:w="80"/>
            </w:tcMar>
            <w:vAlign w:val="center"/>
          </w:tcPr>
          <w:p>
            <w:r>
              <w:rPr>
                <w:color w:val="1F2937"/>
                <w:sz w:val="18"/>
                <w:szCs w:val="18"/>
              </w:rPr>
              <w:t xml:space="preserve">3 D auto-annotations</w:t>
            </w:r>
          </w:p>
        </w:tc>
        <w:tc>
          <w:tcPr>
            <w:shd w:fill="EEF2F7" w:val="clear"/>
            <w:tcMar>
              <w:top w:type="dxa" w:w="50"/>
              <w:left w:type="dxa" w:w="80"/>
              <w:bottom w:type="dxa" w:w="50"/>
              <w:right w:type="dxa" w:w="80"/>
            </w:tcMar>
            <w:vAlign w:val="center"/>
          </w:tcPr>
          <w:p>
            <w:r>
              <w:rPr>
                <w:color w:val="1F2937"/>
                <w:sz w:val="18"/>
                <w:szCs w:val="18"/>
              </w:rPr>
              <w:t xml:space="preserve">Point de vigilance</w:t>
            </w:r>
          </w:p>
        </w:tc>
      </w:tr>
      <w:tr>
        <w:tc>
          <w:tcPr>
            <w:shd/>
            <w:tcMar>
              <w:top w:type="dxa" w:w="50"/>
              <w:left w:type="dxa" w:w="80"/>
              <w:bottom w:type="dxa" w:w="50"/>
              <w:right w:type="dxa" w:w="80"/>
            </w:tcMar>
            <w:vAlign w:val="center"/>
          </w:tcPr>
          <w:p>
            <w:r>
              <w:rPr>
                <w:color w:val="1F2937"/>
                <w:sz w:val="18"/>
                <w:szCs w:val="18"/>
              </w:rPr>
              <w:t xml:space="preserve">lecon-psychopathologie_17</w:t>
            </w:r>
          </w:p>
        </w:tc>
        <w:tc>
          <w:tcPr>
            <w:shd/>
            <w:tcMar>
              <w:top w:type="dxa" w:w="50"/>
              <w:left w:type="dxa" w:w="80"/>
              <w:bottom w:type="dxa" w:w="50"/>
              <w:right w:type="dxa" w:w="80"/>
            </w:tcMar>
            <w:vAlign w:val="center"/>
          </w:tcPr>
          <w:p>
            <w:r>
              <w:rPr>
                <w:color w:val="1F2937"/>
                <w:sz w:val="18"/>
                <w:szCs w:val="18"/>
              </w:rPr>
              <w:t xml:space="preserve">psychopathologie-lecon</w:t>
            </w:r>
          </w:p>
        </w:tc>
        <w:tc>
          <w:tcPr>
            <w:shd/>
            <w:tcMar>
              <w:top w:type="dxa" w:w="50"/>
              <w:left w:type="dxa" w:w="80"/>
              <w:bottom w:type="dxa" w:w="50"/>
              <w:right w:type="dxa" w:w="80"/>
            </w:tcMar>
            <w:vAlign w:val="center"/>
          </w:tcPr>
          <w:p>
            <w:r>
              <w:rPr>
                <w:color w:val="1F2937"/>
                <w:sz w:val="18"/>
                <w:szCs w:val="18"/>
              </w:rPr>
              <w:t xml:space="preserve">8 / 8</w:t>
            </w:r>
          </w:p>
        </w:tc>
        <w:tc>
          <w:tcPr>
            <w:shd/>
            <w:tcMar>
              <w:top w:type="dxa" w:w="50"/>
              <w:left w:type="dxa" w:w="80"/>
              <w:bottom w:type="dxa" w:w="50"/>
              <w:right w:type="dxa" w:w="80"/>
            </w:tcMar>
            <w:vAlign w:val="center"/>
          </w:tcPr>
          <w:p>
            <w:r>
              <w:rPr>
                <w:color w:val="1F2937"/>
                <w:sz w:val="18"/>
                <w:szCs w:val="18"/>
              </w:rPr>
              <w:t xml:space="preserve">0</w:t>
            </w:r>
          </w:p>
        </w:tc>
        <w:tc>
          <w:tcPr>
            <w:shd/>
            <w:tcMar>
              <w:top w:type="dxa" w:w="50"/>
              <w:left w:type="dxa" w:w="80"/>
              <w:bottom w:type="dxa" w:w="50"/>
              <w:right w:type="dxa" w:w="80"/>
            </w:tcMar>
            <w:vAlign w:val="center"/>
          </w:tcPr>
          <w:p>
            <w:r>
              <w:rPr>
                <w:color w:val="1F2937"/>
                <w:sz w:val="18"/>
                <w:szCs w:val="18"/>
              </w:rPr>
              <w:t xml:space="preserve">exit 0</w:t>
            </w:r>
          </w:p>
        </w:tc>
        <w:tc>
          <w:tcPr>
            <w:shd/>
            <w:tcMar>
              <w:top w:type="dxa" w:w="50"/>
              <w:left w:type="dxa" w:w="80"/>
              <w:bottom w:type="dxa" w:w="50"/>
              <w:right w:type="dxa" w:w="80"/>
            </w:tcMar>
            <w:vAlign w:val="center"/>
          </w:tcPr>
          <w:p>
            <w:r>
              <w:rPr>
                <w:color w:val="1F2937"/>
                <w:sz w:val="18"/>
                <w:szCs w:val="18"/>
              </w:rPr>
              <w:t xml:space="preserve">—</w:t>
            </w:r>
          </w:p>
        </w:tc>
        <w:tc>
          <w:tcPr>
            <w:shd/>
            <w:tcMar>
              <w:top w:type="dxa" w:w="50"/>
              <w:left w:type="dxa" w:w="80"/>
              <w:bottom w:type="dxa" w:w="50"/>
              <w:right w:type="dxa" w:w="80"/>
            </w:tcMar>
            <w:vAlign w:val="center"/>
          </w:tcPr>
          <w:p>
            <w:r>
              <w:rPr>
                <w:color w:val="1F2937"/>
                <w:sz w:val="18"/>
                <w:szCs w:val="18"/>
              </w:rPr>
              <w:t xml:space="preserve">ANSM/HAS confirmés</w:t>
            </w:r>
          </w:p>
        </w:tc>
        <w:tc>
          <w:tcPr>
            <w:shd/>
            <w:tcMar>
              <w:top w:type="dxa" w:w="50"/>
              <w:left w:type="dxa" w:w="80"/>
              <w:bottom w:type="dxa" w:w="50"/>
              <w:right w:type="dxa" w:w="80"/>
            </w:tcMar>
            <w:vAlign w:val="center"/>
          </w:tcPr>
          <w:p>
            <w:r>
              <w:rPr>
                <w:color w:val="1F2937"/>
                <w:sz w:val="18"/>
                <w:szCs w:val="18"/>
              </w:rPr>
              <w:t xml:space="preserve">PDF HAS non analysable, 3 B-FR dialogue</w:t>
            </w:r>
          </w:p>
        </w:tc>
        <w:tc>
          <w:tcPr>
            <w:shd/>
            <w:tcMar>
              <w:top w:type="dxa" w:w="50"/>
              <w:left w:type="dxa" w:w="80"/>
              <w:bottom w:type="dxa" w:w="50"/>
              <w:right w:type="dxa" w:w="80"/>
            </w:tcMar>
            <w:vAlign w:val="center"/>
          </w:tcPr>
          <w:p>
            <w:r>
              <w:rPr>
                <w:color w:val="1F2937"/>
                <w:sz w:val="18"/>
                <w:szCs w:val="18"/>
              </w:rPr>
              <w:t xml:space="preserve">Point de vigilance</w:t>
            </w:r>
          </w:p>
        </w:tc>
      </w:tr>
    </w:tbl>
    <w:p>
      <w:pPr>
        <w:spacing w:after="80"/>
      </w:pPr>
      <w:r>
        <w:rPr>
          <w:color w:val="1F2937"/>
          <w:sz w:val="22"/>
          <w:szCs w:val="22"/>
        </w:rPr>
        <w:t xml:space="preserve"/>
      </w:r>
    </w:p>
    <w:p>
      <w:pPr>
        <w:spacing w:after="120" w:before="300"/>
      </w:pPr>
      <w:r>
        <w:rPr>
          <w:b/>
          <w:bCs/>
          <w:color w:val="1B3A6B"/>
          <w:sz w:val="28"/>
          <w:szCs w:val="28"/>
        </w:rPr>
        <w:t xml:space="preserve">Défauts confirmés</w:t>
      </w:r>
    </w:p>
    <w:p>
      <w:pPr>
        <w:spacing w:after="80"/>
      </w:pPr>
      <w:r>
        <w:rPr>
          <w:color w:val="1F2937"/>
          <w:sz w:val="22"/>
          <w:szCs w:val="22"/>
        </w:rPr>
        <w:t xml:space="preserve">Aucun défaut confirmé cette semaine. Tous les contrôles des attributions ont rendu exit 0, sauf appli-ia_10 qui présente un faux positif explicable (voir points de vigilance). Aucune valeur réglementaire erronée ou périmée n'a été détectée.</w:t>
      </w:r>
    </w:p>
    <w:p>
      <w:pPr>
        <w:spacing w:after="80"/>
      </w:pPr>
      <w:r>
        <w:rPr>
          <w:color w:val="1F2937"/>
          <w:sz w:val="22"/>
          <w:szCs w:val="22"/>
        </w:rPr>
        <w:t xml:space="preserve"/>
      </w:r>
    </w:p>
    <w:p>
      <w:pPr>
        <w:spacing w:after="120" w:before="300"/>
      </w:pPr>
      <w:r>
        <w:rPr>
          <w:b/>
          <w:bCs/>
          <w:color w:val="1B3A6B"/>
          <w:sz w:val="28"/>
          <w:szCs w:val="28"/>
        </w:rPr>
        <w:t xml:space="preserve">Points de vigilance</w:t>
      </w:r>
    </w:p>
    <w:p>
      <w:pPr>
        <w:spacing w:after="80" w:before="200"/>
      </w:pPr>
      <w:r>
        <w:rPr>
          <w:b/>
          <w:bCs/>
          <w:color w:val="1B3A6B"/>
          <w:sz w:val="24"/>
          <w:szCs w:val="24"/>
        </w:rPr>
        <w:t xml:space="preserve">1 — appli-ia_10 : fragments SQL détectés à tort comme page-citations (contrôle en défaut)</w:t>
      </w:r>
    </w:p>
    <w:p>
      <w:pPr>
        <w:spacing w:after="80"/>
      </w:pPr>
      <w:r>
        <w:rPr>
          <w:color w:val="1F2937"/>
          <w:sz w:val="22"/>
          <w:szCs w:val="22"/>
        </w:rPr>
        <w:t xml:space="preserve">Le contrôle des attributions a rendu exit 1 avec 2 ABSENTE :</w:t>
      </w:r>
    </w:p>
    <w:p>
      <w:pPr>
        <w:spacing w:after="60"/>
        <w:ind w:left="360"/>
      </w:pPr>
      <w:r>
        <w:rPr>
          <w:color w:val="1F2937"/>
          <w:sz w:val="22"/>
          <w:szCs w:val="22"/>
        </w:rPr>
        <w:t xml:space="preserve">• SELECT COUNT(*) as n FROM livrables WHERE slug LIKE @m</w:t>
      </w:r>
    </w:p>
    <w:p>
      <w:pPr>
        <w:spacing w:after="60"/>
        <w:ind w:left="360"/>
      </w:pPr>
      <w:r>
        <w:rPr>
          <w:color w:val="1F2937"/>
          <w:sz w:val="22"/>
          <w:szCs w:val="22"/>
        </w:rPr>
        <w:t xml:space="preserve">• SELECT COUNT(*) as n FROM livrables WHERE slug_normalise LIKE @m</w:t>
      </w:r>
    </w:p>
    <w:p>
      <w:pPr>
        <w:spacing w:after="80"/>
      </w:pPr>
      <w:r>
        <w:rPr>
          <w:color w:val="1F2937"/>
          <w:sz w:val="22"/>
          <w:szCs w:val="22"/>
        </w:rPr>
        <w:t xml:space="preserve">Ces deux chaînes sont des extraits de code SQL présents dans le corps du document (leçon technique sur SQLite). Le script les a détectés à tort comme des pages citées dans le corps. Page ouverte le 27/09/2026 : ce ne sont pas des URLs, curl ne peut pas les résoudre. Ce n'est pas un défaut du document — c'est un faux positif du contrôle dû aux slashes dans les requêtes SQL. Pas de défaut documentaire.</w:t>
      </w:r>
    </w:p>
    <w:p>
      <w:pPr>
        <w:spacing w:after="80"/>
      </w:pPr>
      <w:r>
        <w:rPr>
          <w:color w:val="1F2937"/>
          <w:sz w:val="22"/>
          <w:szCs w:val="22"/>
        </w:rPr>
        <w:t xml:space="preserve"/>
      </w:r>
    </w:p>
    <w:p>
      <w:pPr>
        <w:spacing w:after="80" w:before="200"/>
      </w:pPr>
      <w:r>
        <w:rPr>
          <w:b/>
          <w:bCs/>
          <w:color w:val="1B3A6B"/>
          <w:sz w:val="24"/>
          <w:szCs w:val="24"/>
        </w:rPr>
        <w:t xml:space="preserve">2 — placement-financier_16 : abattements frère/soeur (15 932 €) et neveu/nièce (7 967 €) non lisibles en rendu statique</w:t>
      </w:r>
    </w:p>
    <w:p>
      <w:pPr>
        <w:spacing w:after="80"/>
      </w:pPr>
      <w:r>
        <w:rPr>
          <w:color w:val="1F2937"/>
          <w:sz w:val="22"/>
          <w:szCs w:val="22"/>
        </w:rPr>
        <w:t xml:space="preserve">Ces abattements figurent dans le tableau du document. La page service-public.fr/F14198, ouverte le 27/09/2026 (200, 67 650 car. utiles), affiche ces valeurs dans des sections interactives non accessibles en rendu statique. L'abattement enfant (100 000 €), handicap (159 325 €), le barème progressif, les taux 5-45 % — tous confirmés directement. Non vérifiable pour ces deux lignes, mais aucune indication de valeur différente.</w:t>
      </w:r>
    </w:p>
    <w:p>
      <w:pPr>
        <w:spacing w:after="80"/>
      </w:pPr>
      <w:r>
        <w:rPr>
          <w:color w:val="1F2937"/>
          <w:sz w:val="22"/>
          <w:szCs w:val="22"/>
        </w:rPr>
        <w:t xml:space="preserve"/>
      </w:r>
    </w:p>
    <w:p>
      <w:pPr>
        <w:spacing w:after="80" w:before="200"/>
      </w:pPr>
      <w:r>
        <w:rPr>
          <w:b/>
          <w:bCs/>
          <w:color w:val="1B3A6B"/>
          <w:sz w:val="24"/>
          <w:szCs w:val="24"/>
        </w:rPr>
        <w:t xml:space="preserve">3 — placement-financier_16 : barème usufruit art. 669 CGI — Légifrance 403</w:t>
      </w:r>
    </w:p>
    <w:p>
      <w:pPr>
        <w:spacing w:after="80"/>
      </w:pPr>
      <w:r>
        <w:rPr>
          <w:color w:val="1F2937"/>
          <w:sz w:val="22"/>
          <w:szCs w:val="22"/>
        </w:rPr>
        <w:t xml:space="preserve">L'article 669 du CGI (barème usufruit/nue-propriété) est cité avec l'URL Légifrance qui répond 403 anti-robot. Le document le déclare explicitement. Non vérifiable lors de ce contrôle (Légifrance 403 systématique). Pas d'indication de valeur erronée.</w:t>
      </w:r>
    </w:p>
    <w:p>
      <w:pPr>
        <w:spacing w:after="80"/>
      </w:pPr>
      <w:r>
        <w:rPr>
          <w:color w:val="1F2937"/>
          <w:sz w:val="22"/>
          <w:szCs w:val="22"/>
        </w:rPr>
        <w:t xml:space="preserve"/>
      </w:r>
    </w:p>
    <w:p>
      <w:pPr>
        <w:spacing w:after="80" w:before="200"/>
      </w:pPr>
      <w:r>
        <w:rPr>
          <w:b/>
          <w:bCs/>
          <w:color w:val="1B3A6B"/>
          <w:sz w:val="24"/>
          <w:szCs w:val="24"/>
        </w:rPr>
        <w:t xml:space="preserve">4 — veille_imac_2026-09-27 : 3 pages anti-robot (Fnac, Darty)</w:t>
      </w:r>
    </w:p>
    <w:p>
      <w:pPr>
        <w:spacing w:after="80"/>
      </w:pPr>
      <w:r>
        <w:rPr>
          <w:color w:val="1F2937"/>
          <w:sz w:val="22"/>
          <w:szCs w:val="22"/>
        </w:rPr>
        <w:t xml:space="preserve">Fnac (2 pages) et Darty (1 page) répondent 403 ou 0 octet. Ces prix de marché (1 689 €, 1 899 €, 2 439 €) ne sont pas des chiffres réglementaires. Mention macg.co comme site retournant 404 : déclarée dans le document lui-même.</w:t>
      </w:r>
    </w:p>
    <w:p>
      <w:pPr>
        <w:spacing w:after="80"/>
      </w:pPr>
      <w:r>
        <w:rPr>
          <w:color w:val="1F2937"/>
          <w:sz w:val="22"/>
          <w:szCs w:val="22"/>
        </w:rPr>
        <w:t xml:space="preserve"/>
      </w:r>
    </w:p>
    <w:p>
      <w:pPr>
        <w:spacing w:after="80" w:before="200"/>
      </w:pPr>
      <w:r>
        <w:rPr>
          <w:b/>
          <w:bCs/>
          <w:color w:val="1B3A6B"/>
          <w:sz w:val="24"/>
          <w:szCs w:val="24"/>
        </w:rPr>
        <w:t xml:space="preserve">5 — veille_ai-act_2026-09-25 : EUR-Lex 202, Conseil UE 403</w:t>
      </w:r>
    </w:p>
    <w:p>
      <w:pPr>
        <w:spacing w:after="80"/>
      </w:pPr>
      <w:r>
        <w:rPr>
          <w:color w:val="1F2937"/>
          <w:sz w:val="22"/>
          <w:szCs w:val="22"/>
        </w:rPr>
        <w:t xml:space="preserve">EUR-Lex retourne 202 (défi WAF) mais le contrôle des attributions l'a lue avec 174 319 car. utiles au 3e essai. Le document mentionne « HTTP 202 lors du test du 25/09/2026 ». Le Conseil de l'UE répond 403 / 0 octet. Le lien pointe vers la liste des communiqués, pas une page portant une information précise.</w:t>
      </w:r>
    </w:p>
    <w:p>
      <w:pPr>
        <w:spacing w:after="80"/>
      </w:pPr>
      <w:r>
        <w:rPr>
          <w:color w:val="1F2937"/>
          <w:sz w:val="22"/>
          <w:szCs w:val="22"/>
        </w:rPr>
        <w:t xml:space="preserve"/>
      </w:r>
    </w:p>
    <w:p>
      <w:pPr>
        <w:spacing w:after="80" w:before="200"/>
      </w:pPr>
      <w:r>
        <w:rPr>
          <w:b/>
          <w:bCs/>
          <w:color w:val="1B3A6B"/>
          <w:sz w:val="24"/>
          <w:szCs w:val="24"/>
        </w:rPr>
        <w:t xml:space="preserve">6 — veille_SERAFIN-PH_2026-09-23 : décret n°2026-376 non confirmé (Légifrance 403)</w:t>
      </w:r>
    </w:p>
    <w:p>
      <w:pPr>
        <w:spacing w:after="80"/>
      </w:pPr>
      <w:r>
        <w:rPr>
          <w:color w:val="1F2937"/>
          <w:sz w:val="22"/>
          <w:szCs w:val="22"/>
        </w:rPr>
        <w:t xml:space="preserve">Le document déclare lui-même que Légifrance répond 403 et que le numéro du décret et l'art. 90 LFSS 2026 ne sont vérifiés sur aucune page ouverte lors de la production. Cohérent avec la pratique observée.</w:t>
      </w:r>
    </w:p>
    <w:p>
      <w:pPr>
        <w:spacing w:after="80"/>
      </w:pPr>
      <w:r>
        <w:rPr>
          <w:color w:val="1F2937"/>
          <w:sz w:val="22"/>
          <w:szCs w:val="22"/>
        </w:rPr>
        <w:t xml:space="preserve"/>
      </w:r>
    </w:p>
    <w:p>
      <w:pPr>
        <w:spacing w:after="80" w:before="200"/>
      </w:pPr>
      <w:r>
        <w:rPr>
          <w:b/>
          <w:bCs/>
          <w:color w:val="1B3A6B"/>
          <w:sz w:val="24"/>
          <w:szCs w:val="24"/>
        </w:rPr>
        <w:t xml:space="preserve">7 — lecon-hypnose_15 : ishhypnosis.org 406, PDF HAS non analysable</w:t>
      </w:r>
    </w:p>
    <w:p>
      <w:pPr>
        <w:spacing w:after="80"/>
      </w:pPr>
      <w:r>
        <w:rPr>
          <w:color w:val="1F2937"/>
          <w:sz w:val="22"/>
          <w:szCs w:val="22"/>
        </w:rPr>
        <w:t xml:space="preserve">ishhypnosis.org répond 406 à curl mais le contrôle des attributions la lit (11 753 car. utiles) — la page existe. Le PDF HAS (flash_securite_patient_neuroleptique) n'est pas analysable automatiquement. La phrase du document issue de ce PDF est confirmée sur la page HTML associée (HAS jcms p_3381939 — lisible, 7 091 car. utiles).</w:t>
      </w:r>
    </w:p>
    <w:p>
      <w:pPr>
        <w:spacing w:after="80"/>
      </w:pPr>
      <w:r>
        <w:rPr>
          <w:color w:val="1F2937"/>
          <w:sz w:val="22"/>
          <w:szCs w:val="22"/>
        </w:rPr>
        <w:t xml:space="preserve"/>
      </w:r>
    </w:p>
    <w:p>
      <w:pPr>
        <w:spacing w:after="80" w:before="200"/>
      </w:pPr>
      <w:r>
        <w:rPr>
          <w:b/>
          <w:bCs/>
          <w:color w:val="1B3A6B"/>
          <w:sz w:val="24"/>
          <w:szCs w:val="24"/>
        </w:rPr>
        <w:t xml:space="preserve">8 — lecon-astrologie-karmique_08 : PDF journalpsyche.org non analysable</w:t>
      </w:r>
    </w:p>
    <w:p>
      <w:pPr>
        <w:spacing w:after="80"/>
      </w:pPr>
      <w:r>
        <w:rPr>
          <w:color w:val="1F2937"/>
          <w:sz w:val="22"/>
          <w:szCs w:val="22"/>
        </w:rPr>
        <w:t xml:space="preserve">journalpsyche.org/articles/0xc062.pdf est listé comme ressource mais non analysable par le contrôle (PDF). La notice bibliographique seule est vérifiable.</w:t>
      </w:r>
    </w:p>
    <w:p>
      <w:pPr>
        <w:spacing w:after="80"/>
      </w:pPr>
      <w:r>
        <w:rPr>
          <w:color w:val="1F2937"/>
          <w:sz w:val="22"/>
          <w:szCs w:val="22"/>
        </w:rPr>
        <w:t xml:space="preserve"/>
      </w:r>
    </w:p>
    <w:p>
      <w:pPr>
        <w:spacing w:after="120" w:before="300"/>
      </w:pPr>
      <w:r>
        <w:rPr>
          <w:b/>
          <w:bCs/>
          <w:color w:val="1B3A6B"/>
          <w:sz w:val="28"/>
          <w:szCs w:val="28"/>
        </w:rPr>
        <w:t xml:space="preserve">Harnais de non-régression</w:t>
      </w:r>
    </w:p>
    <w:p>
      <w:pPr>
        <w:spacing w:after="80"/>
      </w:pPr>
      <w:r>
        <w:rPr>
          <w:b/>
          <w:bCs/>
          <w:color w:val="1F2937"/>
          <w:sz w:val="22"/>
          <w:szCs w:val="22"/>
        </w:rPr>
        <w:t xml:space="preserve">Référence : 26/09/2026 16:48 — Mode : --complet — heure de lecture : 11:13 CEST le 27/09/2026</w:t>
      </w:r>
    </w:p>
    <w:p>
      <w:pPr>
        <w:spacing w:after="60"/>
        <w:ind w:left="360"/>
      </w:pPr>
      <w:r>
        <w:rPr>
          <w:color w:val="1F2937"/>
          <w:sz w:val="22"/>
          <w:szCs w:val="22"/>
        </w:rPr>
        <w:t xml:space="preserve">• Passes A/A2/A3/A4 (sans aspiration) : 250 documents · 0 bloquant(s)</w:t>
      </w:r>
    </w:p>
    <w:p>
      <w:pPr>
        <w:spacing w:after="60"/>
        <w:ind w:left="360"/>
      </w:pPr>
      <w:r>
        <w:rPr>
          <w:color w:val="1F2937"/>
          <w:sz w:val="22"/>
          <w:szCs w:val="22"/>
        </w:rPr>
        <w:t xml:space="preserve">• Décompte sur les veilles : exit 0 : 59 · exit 1 : 2 · exit 2 : 33</w:t>
      </w:r>
    </w:p>
    <w:p>
      <w:pPr>
        <w:spacing w:after="60"/>
        <w:ind w:left="360"/>
      </w:pPr>
      <w:r>
        <w:rPr>
          <w:color w:val="1F2937"/>
          <w:sz w:val="22"/>
          <w:szCs w:val="22"/>
        </w:rPr>
        <w:t xml:space="preserve">• Diff avec la référence : 3 document(s) nouveau(x) depuis la référence (non comparés) · aucun verdict n'a changé</w:t>
      </w:r>
    </w:p>
    <w:p>
      <w:pPr>
        <w:spacing w:after="60"/>
        <w:ind w:left="360"/>
      </w:pPr>
      <w:r>
        <w:rPr>
          <w:color w:val="1F2937"/>
          <w:sz w:val="22"/>
          <w:szCs w:val="22"/>
        </w:rPr>
        <w:t xml:space="preserve">• Témoins conformes (doivent sortir en 0) : 5/5 — lecon-stoicisme_14_physique-logique-logos-destin-assentiment.docx, lecon-appli-ia_07_persistance-sqlite.docx, lecon-placement-financier_14_gestion-libre-pilotee-mandat-arbitrage.docx, lecon-placement-financier_03 (marqueurs), lecon-dzogchen_16 — tous exit 0</w:t>
      </w:r>
    </w:p>
    <w:p>
      <w:pPr>
        <w:spacing w:after="60"/>
        <w:ind w:left="360"/>
      </w:pPr>
      <w:r>
        <w:rPr>
          <w:color w:val="1F2937"/>
          <w:sz w:val="22"/>
          <w:szCs w:val="22"/>
        </w:rPr>
        <w:t xml:space="preserve">• Témoins d'avant correction (doivent sortir en 1) : 7/7 — exit 1 confirmé</w:t>
      </w:r>
    </w:p>
    <w:p>
      <w:pPr>
        <w:spacing w:after="60"/>
        <w:ind w:left="360"/>
      </w:pPr>
      <w:r>
        <w:rPr>
          <w:color w:val="1F2937"/>
          <w:sz w:val="22"/>
          <w:szCs w:val="22"/>
        </w:rPr>
        <w:t xml:space="preserve">• Terminé — exit 0</w:t>
      </w:r>
    </w:p>
    <w:p>
      <w:pPr>
        <w:spacing w:after="80"/>
      </w:pPr>
      <w:r>
        <w:rPr>
          <w:color w:val="1F2937"/>
          <w:sz w:val="22"/>
          <w:szCs w:val="22"/>
        </w:rPr>
        <w:t xml:space="preserve"/>
      </w:r>
    </w:p>
    <w:p>
      <w:pPr>
        <w:spacing w:after="120" w:before="300"/>
      </w:pPr>
      <w:r>
        <w:rPr>
          <w:b/>
          <w:bCs/>
          <w:color w:val="1B3A6B"/>
          <w:sz w:val="28"/>
          <w:szCs w:val="28"/>
        </w:rPr>
        <w:t xml:space="preserve">Vérifications passées</w:t>
      </w:r>
    </w:p>
    <w:p>
      <w:pPr>
        <w:spacing w:after="80"/>
      </w:pPr>
      <w:r>
        <w:rPr>
          <w:b/>
          <w:bCs/>
          <w:color w:val="1F2937"/>
          <w:sz w:val="22"/>
          <w:szCs w:val="22"/>
        </w:rPr>
        <w:t xml:space="preserve">Chiffres réglementaires :</w:t>
      </w:r>
    </w:p>
    <w:p>
      <w:pPr>
        <w:spacing w:after="60"/>
        <w:ind w:left="360"/>
      </w:pPr>
      <w:r>
        <w:rPr>
          <w:color w:val="1F2937"/>
          <w:sz w:val="22"/>
          <w:szCs w:val="22"/>
        </w:rPr>
        <w:t xml:space="preserve">• Abattement succession enfant : 100 000 € — CONFIRME service-public.fr/F14198, 27/09/2026</w:t>
      </w:r>
    </w:p>
    <w:p>
      <w:pPr>
        <w:spacing w:after="60"/>
        <w:ind w:left="360"/>
      </w:pPr>
      <w:r>
        <w:rPr>
          <w:color w:val="1F2937"/>
          <w:sz w:val="22"/>
          <w:szCs w:val="22"/>
        </w:rPr>
        <w:t xml:space="preserve">• Abattement handicap : 159 325 € — CONFIRME service-public.fr/F14198, 27/09/2026</w:t>
      </w:r>
    </w:p>
    <w:p>
      <w:pPr>
        <w:spacing w:after="60"/>
        <w:ind w:left="360"/>
      </w:pPr>
      <w:r>
        <w:rPr>
          <w:color w:val="1F2937"/>
          <w:sz w:val="22"/>
          <w:szCs w:val="22"/>
        </w:rPr>
        <w:t xml:space="preserve">• Barème succession ligne directe (5/10/15/20/30/40/45 %) seuils 8072/12109/15932/552324/902838/1805677 € — CONFIRME service-public.fr/F14198, 27/09/2026</w:t>
      </w:r>
    </w:p>
    <w:p>
      <w:pPr>
        <w:spacing w:after="60"/>
        <w:ind w:left="360"/>
      </w:pPr>
      <w:r>
        <w:rPr>
          <w:color w:val="1F2937"/>
          <w:sz w:val="22"/>
          <w:szCs w:val="22"/>
        </w:rPr>
        <w:t xml:space="preserve">• Don familial 31 865 € (renouvelable tous les 15 ans) — CONFIRME service-public.fr/F10203, 27/09/2026</w:t>
      </w:r>
    </w:p>
    <w:p>
      <w:pPr>
        <w:spacing w:after="60"/>
        <w:ind w:left="360"/>
      </w:pPr>
      <w:r>
        <w:rPr>
          <w:color w:val="1F2937"/>
          <w:sz w:val="22"/>
          <w:szCs w:val="22"/>
        </w:rPr>
        <w:t xml:space="preserve">• Dispositif don logement/rénovation 15/02/2025–31/12/2026, MaPrimeRénov', VEFA admis / maison hors VEFA non, 5 ans résidence principale ou location — CONFIRME service-public.fr/F10203, 27/09/2026</w:t>
      </w:r>
    </w:p>
    <w:p>
      <w:pPr>
        <w:spacing w:after="60"/>
        <w:ind w:left="360"/>
      </w:pPr>
      <w:r>
        <w:rPr>
          <w:color w:val="1F2937"/>
          <w:sz w:val="22"/>
          <w:szCs w:val="22"/>
        </w:rPr>
        <w:t xml:space="preserve">• SERAFIN-PH déploiement secteur enfance 1er janv. 2027 — CONFIRME handicap.gouv.fr (14e comité stratégique)</w:t>
      </w:r>
    </w:p>
    <w:p>
      <w:pPr>
        <w:spacing w:after="60"/>
        <w:ind w:left="360"/>
      </w:pPr>
      <w:r>
        <w:rPr>
          <w:color w:val="1F2937"/>
          <w:sz w:val="22"/>
          <w:szCs w:val="22"/>
        </w:rPr>
        <w:t xml:space="preserve">• ANSM — 5 groupes antidépresseurs, délai 2-4 semaines, durée min. 6 mois, pas de dépendance — CONFIRME ansm.sante.fr/antidepresseurs, mis à jour 18/09/2026</w:t>
      </w:r>
    </w:p>
    <w:p>
      <w:pPr>
        <w:spacing w:after="60"/>
        <w:ind w:left="360"/>
      </w:pPr>
      <w:r>
        <w:rPr>
          <w:color w:val="1F2937"/>
          <w:sz w:val="22"/>
          <w:szCs w:val="22"/>
        </w:rPr>
        <w:t xml:space="preserve">• HAS Flash Sécurité Patient neuroleptiques : 4 actions (Informer, Dépister, Surveiller, Orienter) — CONFIRME has-sante.fr/jcms/p_3381939, 27/09/2026</w:t>
      </w:r>
    </w:p>
    <w:p>
      <w:pPr>
        <w:spacing w:after="80"/>
      </w:pPr>
      <w:r>
        <w:rPr>
          <w:color w:val="1F2937"/>
          <w:sz w:val="22"/>
          <w:szCs w:val="22"/>
        </w:rPr>
        <w:t xml:space="preserve"/>
      </w:r>
    </w:p>
    <w:p>
      <w:pPr>
        <w:spacing w:after="80"/>
      </w:pPr>
      <w:r>
        <w:rPr>
          <w:b/>
          <w:bCs/>
          <w:color w:val="1F2937"/>
          <w:sz w:val="22"/>
          <w:szCs w:val="22"/>
        </w:rPr>
        <w:t xml:space="preserve">Liens et attributions :</w:t>
      </w:r>
    </w:p>
    <w:p>
      <w:pPr>
        <w:spacing w:after="60"/>
        <w:ind w:left="360"/>
      </w:pPr>
      <w:r>
        <w:rPr>
          <w:color w:val="1F2937"/>
          <w:sz w:val="22"/>
          <w:szCs w:val="22"/>
        </w:rPr>
        <w:t xml:space="preserve">• veille_imac : 9/12 liens 200, 3/12 403 anti-robot. Aucun lien mort. Prix consomac.fr et apple.com reconditionné lisibles. Contenu fenêtre 20-27/09 cohérent.</w:t>
      </w:r>
    </w:p>
    <w:p>
      <w:pPr>
        <w:spacing w:after="60"/>
        <w:ind w:left="360"/>
      </w:pPr>
      <w:r>
        <w:rPr>
          <w:color w:val="1F2937"/>
          <w:sz w:val="22"/>
          <w:szCs w:val="22"/>
        </w:rPr>
        <w:t xml:space="preserve">• veille_ai-act : 10/12 liens 200, EUR-Lex 202 lisible (174 319 car.), consilium 403. 5 citations anglaises IAPP confirmées.</w:t>
      </w:r>
    </w:p>
    <w:p>
      <w:pPr>
        <w:spacing w:after="60"/>
        <w:ind w:left="360"/>
      </w:pPr>
      <w:r>
        <w:rPr>
          <w:color w:val="1F2937"/>
          <w:sz w:val="22"/>
          <w:szCs w:val="22"/>
        </w:rPr>
        <w:t xml:space="preserve">• veille_SERAFIN-PH : 4/5 liens 200, Légifrance 403 déclaré. Décompte COHERENT.</w:t>
      </w:r>
    </w:p>
    <w:p>
      <w:pPr>
        <w:spacing w:after="60"/>
        <w:ind w:left="360"/>
      </w:pPr>
      <w:r>
        <w:rPr>
          <w:color w:val="1F2937"/>
          <w:sz w:val="22"/>
          <w:szCs w:val="22"/>
        </w:rPr>
        <w:t xml:space="preserve">• lecon-appli-ia_09 : 4/4 liens 200. Versions Node.js (22.18.0, 24.12.0, 25.2.0, 24.15.0) CONFIRMEES nodejs.org.</w:t>
      </w:r>
    </w:p>
    <w:p>
      <w:pPr>
        <w:spacing w:after="60"/>
        <w:ind w:left="360"/>
      </w:pPr>
      <w:r>
        <w:rPr>
          <w:color w:val="1F2937"/>
          <w:sz w:val="22"/>
          <w:szCs w:val="22"/>
        </w:rPr>
        <w:t xml:space="preserve">• lecon-stoicisme_16 : 9/9 liens 200. 5 citations anglaises Hadot/Marc Aurèle MIT/IEP/Modern Stoicism CONFIRMEES.</w:t>
      </w:r>
    </w:p>
    <w:p>
      <w:pPr>
        <w:spacing w:after="60"/>
        <w:ind w:left="360"/>
      </w:pPr>
      <w:r>
        <w:rPr>
          <w:color w:val="1F2937"/>
          <w:sz w:val="22"/>
          <w:szCs w:val="22"/>
        </w:rPr>
        <w:t xml:space="preserve">• lecon-dzogchen_17 : 9/9 liens 200. 13 citations anglaises Lion's Roar/StudyBuddhism/Lotsawa House/Wikipedia CONFIRMEES. Rangjung Dorje 1284-1338/1339 : discordance connue et déclarée confirmée Wikipedia.</w:t>
      </w:r>
    </w:p>
    <w:p>
      <w:pPr>
        <w:spacing w:after="60"/>
        <w:ind w:left="360"/>
      </w:pPr>
      <w:r>
        <w:rPr>
          <w:color w:val="1F2937"/>
          <w:sz w:val="22"/>
          <w:szCs w:val="22"/>
        </w:rPr>
        <w:t xml:space="preserve">• lecon-enneagramme_17 : 4/4 liens 200. 4 citations anglaises (9takes, growingself) CONFIRMEES.</w:t>
      </w:r>
    </w:p>
    <w:p>
      <w:pPr>
        <w:spacing w:after="60"/>
        <w:ind w:left="360"/>
      </w:pPr>
      <w:r>
        <w:rPr>
          <w:color w:val="1F2937"/>
          <w:sz w:val="22"/>
          <w:szCs w:val="22"/>
        </w:rPr>
        <w:t xml:space="preserve">• lecon-hypnose_15 : 9/10 liens 200 (1x406 lisible). PMC 9325885, 8355552, 8244109, 10646898 lisibles et citations appariées.</w:t>
      </w:r>
    </w:p>
    <w:p>
      <w:pPr>
        <w:spacing w:after="60"/>
        <w:ind w:left="360"/>
      </w:pPr>
      <w:r>
        <w:rPr>
          <w:color w:val="1F2937"/>
          <w:sz w:val="22"/>
          <w:szCs w:val="22"/>
        </w:rPr>
        <w:t xml:space="preserve">• lecon-astrologie-karmique_08 : 8/8 liens 200. 7 citations anglaises NASA StarChild/obspm.fr/Kerykeion/Astrotheme CONFIRMEES.</w:t>
      </w:r>
    </w:p>
    <w:p>
      <w:pPr>
        <w:spacing w:after="60"/>
        <w:ind w:left="360"/>
      </w:pPr>
      <w:r>
        <w:rPr>
          <w:color w:val="1F2937"/>
          <w:sz w:val="22"/>
          <w:szCs w:val="22"/>
        </w:rPr>
        <w:t xml:space="preserve">• lecon-psychopathologie_17 : 7/7 liens URL 200 (+ 1 PDF). 3 B-NOM ANSM/HAS CONFIRMES.</w:t>
      </w:r>
    </w:p>
    <w:p>
      <w:pPr>
        <w:spacing w:after="60"/>
        <w:ind w:left="360"/>
      </w:pPr>
      <w:r>
        <w:rPr>
          <w:color w:val="1F2937"/>
          <w:sz w:val="22"/>
          <w:szCs w:val="22"/>
        </w:rPr>
        <w:t xml:space="preserve">• lecon-placement-financier_16 : 3/4 liens 200 (Légifrance 403). Abattements et barème succession CONFIRMES. Conditions dispositif donation CONFIRMEES.</w:t>
      </w:r>
    </w:p>
    <w:p>
      <w:pPr>
        <w:spacing w:after="60"/>
        <w:ind w:left="360"/>
      </w:pPr>
      <w:r>
        <w:rPr>
          <w:color w:val="1F2937"/>
          <w:sz w:val="22"/>
          <w:szCs w:val="22"/>
        </w:rPr>
        <w:t xml:space="preserve">• lecon-revenus-passifs_10 : 6/6 liens déclarés + 2 corps (perial.com, primaliance.com) tous 200. Citation titre groundworkblog.com CONFIRMEE.</w:t>
      </w:r>
    </w:p>
    <w:p>
      <w:pPr>
        <w:spacing w:after="80"/>
      </w:pPr>
      <w:r>
        <w:rPr>
          <w:color w:val="1F2937"/>
          <w:sz w:val="22"/>
          <w:szCs w:val="22"/>
        </w:rPr>
        <w:t xml:space="preserve"/>
      </w:r>
    </w:p>
    <w:p>
      <w:pPr>
        <w:spacing w:after="120" w:before="300"/>
      </w:pPr>
      <w:r>
        <w:rPr>
          <w:b/>
          <w:bCs/>
          <w:color w:val="1B3A6B"/>
          <w:sz w:val="28"/>
          <w:szCs w:val="28"/>
        </w:rPr>
        <w:t xml:space="preserve">Non vérifiable</w:t>
      </w:r>
    </w:p>
    <w:p>
      <w:pPr>
        <w:spacing w:after="60"/>
        <w:ind w:left="360"/>
      </w:pPr>
      <w:r>
        <w:rPr>
          <w:color w:val="1F2937"/>
          <w:sz w:val="22"/>
          <w:szCs w:val="22"/>
        </w:rPr>
        <w:t xml:space="preserve">• Abattements frère/soeur (15 932 €) et neveu/nièce (7 967 €) dans placement-financier_16 : service-public.fr/F14198 affiche ces valeurs dans une section interactive, non accessible en rendu statique. Aucune indication de divergence.</w:t>
      </w:r>
    </w:p>
    <w:p>
      <w:pPr>
        <w:spacing w:after="60"/>
        <w:ind w:left="360"/>
      </w:pPr>
      <w:r>
        <w:rPr>
          <w:color w:val="1F2937"/>
          <w:sz w:val="22"/>
          <w:szCs w:val="22"/>
        </w:rPr>
        <w:t xml:space="preserve">• Barème usufruit/nue-propriété art. 669 CGI dans placement-financier_16 : Légifrance répond 403. Déclaré dans le document.</w:t>
      </w:r>
    </w:p>
    <w:p>
      <w:pPr>
        <w:spacing w:after="60"/>
        <w:ind w:left="360"/>
      </w:pPr>
      <w:r>
        <w:rPr>
          <w:color w:val="1F2937"/>
          <w:sz w:val="22"/>
          <w:szCs w:val="22"/>
        </w:rPr>
        <w:t xml:space="preserve">• Décret n°2026-376 du 13 mai 2026, art. 90 LFSS 2026 dans veille SERAFIN-PH : Légifrance répond 403. Déclaré dans le document.</w:t>
      </w:r>
    </w:p>
    <w:p>
      <w:pPr>
        <w:spacing w:after="60"/>
        <w:ind w:left="360"/>
      </w:pPr>
      <w:r>
        <w:rPr>
          <w:color w:val="1F2937"/>
          <w:sz w:val="22"/>
          <w:szCs w:val="22"/>
        </w:rPr>
        <w:t xml:space="preserve">• journalpsyche.org/articles/0xc062.pdf (lecon-astrologie-karmique_08) : PDF non analysé automatiquement.</w:t>
      </w:r>
    </w:p>
    <w:p>
      <w:pPr>
        <w:spacing w:after="60"/>
        <w:ind w:left="360"/>
      </w:pPr>
      <w:r>
        <w:rPr>
          <w:color w:val="1F2937"/>
          <w:sz w:val="22"/>
          <w:szCs w:val="22"/>
        </w:rPr>
        <w:t xml:space="preserve">• HAS Flash Sécurité Patient neuroleptiques PDF (lecon-psychopathologie_17) : PDF non analysé automatiquement.</w:t>
      </w:r>
    </w:p>
    <w:p>
      <w:pPr>
        <w:spacing w:after="60"/>
        <w:ind w:left="360"/>
      </w:pPr>
      <w:r>
        <w:rPr>
          <w:color w:val="1F2937"/>
          <w:sz w:val="22"/>
          <w:szCs w:val="22"/>
        </w:rPr>
        <w:t xml:space="preserve">• 42 fichiers dans find avec date nom &lt; 21/09 (section B du périmètre) : mtime mis à jour par sync kDrive, non recontrolés cette semaine.</w:t>
      </w:r>
    </w:p>
    <w:p>
      <w:pPr>
        <w:spacing w:after="80"/>
      </w:pPr>
      <w:r>
        <w:rPr>
          <w:color w:val="1F2937"/>
          <w:sz w:val="22"/>
          <w:szCs w:val="22"/>
        </w:rPr>
        <w:t xml:space="preserve"/>
      </w:r>
    </w:p>
    <w:p>
      <w:pPr>
        <w:spacing w:after="120" w:before="300"/>
      </w:pPr>
      <w:r>
        <w:rPr>
          <w:b/>
          <w:bCs/>
          <w:color w:val="1B3A6B"/>
          <w:sz w:val="28"/>
          <w:szCs w:val="28"/>
        </w:rPr>
        <w:t xml:space="preserve">Pied de note</w:t>
      </w:r>
    </w:p>
    <w:p>
      <w:pPr>
        <w:spacing w:after="80"/>
      </w:pPr>
      <w:r>
        <w:rPr>
          <w:color w:val="1F2937"/>
          <w:sz w:val="22"/>
          <w:szCs w:val="22"/>
        </w:rPr>
        <w:t xml:space="preserve">Livrables contrôlés : 13 (productions semaine 21–27/09/2026)</w:t>
      </w:r>
    </w:p>
    <w:p>
      <w:pPr>
        <w:spacing w:after="80"/>
      </w:pPr>
      <w:r>
        <w:rPr>
          <w:color w:val="1F2937"/>
          <w:sz w:val="22"/>
          <w:szCs w:val="22"/>
        </w:rPr>
        <w:t xml:space="preserve">Liens déclarés (total) : 95 — Liens testés : 95 — Egalité : contrôle complet</w:t>
      </w:r>
    </w:p>
    <w:p>
      <w:pPr>
        <w:spacing w:after="80"/>
      </w:pPr>
      <w:r>
        <w:rPr>
          <w:color w:val="1F2937"/>
          <w:sz w:val="22"/>
          <w:szCs w:val="22"/>
        </w:rPr>
        <w:t xml:space="preserve">Liens morts (HTTP 404 non déclarés) : 0</w:t>
      </w:r>
    </w:p>
    <w:p>
      <w:pPr>
        <w:spacing w:after="80"/>
      </w:pPr>
      <w:r>
        <w:rPr>
          <w:color w:val="1F2937"/>
          <w:sz w:val="22"/>
          <w:szCs w:val="22"/>
        </w:rPr>
        <w:t xml:space="preserve">Chiffres vérifiés à une source primaire : 12 (abattements + barème + donation service-public.fr, ANSM, HAS, SERAFIN-PH CNSA)</w:t>
      </w:r>
    </w:p>
    <w:p>
      <w:pPr>
        <w:spacing w:after="80"/>
      </w:pPr>
      <w:r>
        <w:rPr>
          <w:color w:val="1F2937"/>
          <w:sz w:val="22"/>
          <w:szCs w:val="22"/>
        </w:rPr>
        <w:t xml:space="preserve">Contrôle des attributions : 13 documents — exit 0 : 12 · exit 1 : 1 (faux positif SQL) · exit 3 : 0</w:t>
      </w:r>
    </w:p>
    <w:p>
      <w:pPr>
        <w:spacing w:after="80"/>
      </w:pPr>
      <w:r>
        <w:rPr>
          <w:color w:val="1F2937"/>
          <w:sz w:val="22"/>
          <w:szCs w:val="22"/>
        </w:rPr>
        <w:t xml:space="preserve">Contrôle du décompte : 3 veilles — exit 0 : 3 · exit 1 : 0 · exit 2 : 0</w:t>
      </w:r>
    </w:p>
    <w:p>
      <w:pPr>
        <w:spacing w:after="80"/>
      </w:pPr>
      <w:r>
        <w:rPr>
          <w:color w:val="1F2937"/>
          <w:sz w:val="22"/>
          <w:szCs w:val="22"/>
        </w:rPr>
        <w:t xml:space="preserve">Harnais non-régression --complet : exit 0, 250 documents, aucun verdict changé, référence 26/09/2026 16:48</w:t>
      </w:r>
    </w:p>
    <w:p>
      <w:pPr>
        <w:spacing w:after="80"/>
      </w:pPr>
      <w:r>
        <w:rPr>
          <w:color w:val="1F2937"/>
          <w:sz w:val="22"/>
          <w:szCs w:val="22"/>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2026-09-27T09:18:50.865Z</dcterms:created>
  <dcterms:modified xsi:type="dcterms:W3CDTF">2026-09-27T09:18:50.867Z</dcterms:modified>
</cp:coreProperties>
</file>

<file path=docProps/custom.xml><?xml version="1.0" encoding="utf-8"?>
<Properties xmlns="http://schemas.openxmlformats.org/officeDocument/2006/custom-properties" xmlns:vt="http://schemas.openxmlformats.org/officeDocument/2006/docPropsVTypes"/>
</file>