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olor w:val="1B3A6B"/>
          <w:sz w:val="52"/>
          <w:szCs w:val="52"/>
        </w:rPr>
        <w:t xml:space="preserve">Leçon Placement financier n°15</w:t>
      </w:r>
    </w:p>
    <w:p>
      <w:pPr>
        <w:pStyle w:val="Heading1"/>
        <w:spacing w:after="120" w:before="240"/>
        <w:jc w:val="center"/>
      </w:pPr>
      <w:r>
        <w:rPr>
          <w:rFonts w:ascii="Times New Roman" w:cs="Times New Roman" w:eastAsia="Times New Roman" w:hAnsi="Times New Roman"/>
          <w:b/>
          <w:bCs/>
          <w:color w:val="1B3A6B"/>
          <w:sz w:val="52"/>
          <w:szCs w:val="52"/>
        </w:rPr>
        <w:t xml:space="preserve">Les biais comportementaux de l'épargnant</w:t>
      </w:r>
    </w:p>
    <w:p>
      <w:pPr>
        <w:spacing w:after="160" w:before="80"/>
        <w:jc w:val="center"/>
      </w:pPr>
      <w:r>
        <w:rPr>
          <w:rFonts w:ascii="Times New Roman" w:cs="Times New Roman" w:eastAsia="Times New Roman" w:hAnsi="Times New Roman"/>
          <w:i/>
          <w:iCs/>
          <w:color w:val="1B3A6B"/>
          <w:sz w:val="22"/>
          <w:szCs w:val="22"/>
        </w:rPr>
        <w:t xml:space="preserve">19 septembre 2026   |   Leçon 15 / 20</w:t>
      </w:r>
    </w:p>
    <w:p>
      <w:pPr>
        <w:pStyle w:val="Heading2"/>
        <w:spacing w:after="100" w:before="280"/>
      </w:pPr>
      <w:r>
        <w:rPr>
          <w:rFonts w:ascii="Times New Roman" w:cs="Times New Roman" w:eastAsia="Times New Roman" w:hAnsi="Times New Roman"/>
          <w:b/>
          <w:bCs/>
          <w:color w:val="1B3A6B"/>
          <w:sz w:val="30"/>
          <w:szCs w:val="30"/>
        </w:rPr>
        <w:t xml:space="preserve">🎯 Objectif &amp; continuité</w:t>
      </w:r>
    </w:p>
    <w:p>
      <w:pPr>
        <w:spacing w:after="80" w:before="60"/>
      </w:pPr>
      <w:r>
        <w:rPr>
          <w:rFonts w:ascii="Times New Roman" w:cs="Times New Roman" w:eastAsia="Times New Roman" w:hAnsi="Times New Roman"/>
          <w:color w:val="1F2937"/>
          <w:sz w:val="22"/>
          <w:szCs w:val="22"/>
        </w:rPr>
        <w:t xml:space="preserve">À l'issue de cette leçon, tu seras capable d'identifier les principaux biais cognitifs qui dégradent les décisions d'épargne, de les reconnaître dans ta propre expérience, et de mettre en place des garde-fous concrets pour les contrecarrer.</w:t>
      </w:r>
    </w:p>
    <w:p>
      <w:pPr>
        <w:spacing w:after="80" w:before="60"/>
      </w:pPr>
      <w:r>
        <w:rPr>
          <w:rFonts w:ascii="Times New Roman" w:cs="Times New Roman" w:eastAsia="Times New Roman" w:hAnsi="Times New Roman"/>
          <w:color w:val="1F2937"/>
          <w:sz w:val="22"/>
          <w:szCs w:val="22"/>
        </w:rPr>
        <w:t xml:space="preserve">Lien avec la leçon 14 (gestion libre, gestion pilotée, mandat d'arbitrage) : comprendre pourquoi la délégation ou une discipline d'investissement rigoureuse peut protéger l'épargnant contre lui-même — ce que la leçon 14 présentait comme outil, la leçon 15 en révèle la nécessité psychologique.</w:t>
      </w:r>
    </w:p>
    <w:p>
      <w:pPr>
        <w:pStyle w:val="Heading2"/>
        <w:spacing w:after="100" w:before="280"/>
      </w:pPr>
      <w:r>
        <w:rPr>
          <w:rFonts w:ascii="Times New Roman" w:cs="Times New Roman" w:eastAsia="Times New Roman" w:hAnsi="Times New Roman"/>
          <w:b/>
          <w:bCs/>
          <w:color w:val="1B3A6B"/>
          <w:sz w:val="30"/>
          <w:szCs w:val="30"/>
        </w:rPr>
        <w:t xml:space="preserve">⚖️ Rappel</w:t>
      </w:r>
    </w:p>
    <w:p>
      <w:pPr>
        <w:shd w:fill="F3F4F6" w:color="auto" w:val="clear"/>
        <w:spacing w:after="120" w:before="120"/>
        <w:ind w:left="360" w:right="360"/>
      </w:pPr>
      <w:r>
        <w:rPr>
          <w:rFonts w:ascii="Times New Roman" w:cs="Times New Roman" w:eastAsia="Times New Roman" w:hAnsi="Times New Roman"/>
          <w:i/>
          <w:iCs/>
          <w:color w:val="1F2937"/>
          <w:sz w:val="22"/>
          <w:szCs w:val="22"/>
        </w:rPr>
        <w:t xml:space="preserve">Cette leçon relève de l'éducation financière générale. Elle ne constitue en aucun cas un conseil en investissement personnalisé. Tout placement comporte un risque de perte en capital. Pour toute décision, consulte un conseiller en gestion de patrimoine (CGP) ou un CIF agréé.</w:t>
      </w:r>
    </w:p>
    <w:p>
      <w:pPr>
        <w:pStyle w:val="Heading2"/>
        <w:spacing w:after="100" w:before="28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Qu'est-ce que la finance comportementale ?</w:t>
      </w:r>
    </w:p>
    <w:p>
      <w:pPr>
        <w:spacing w:after="80" w:before="60"/>
      </w:pPr>
      <w:r>
        <w:rPr>
          <w:rFonts w:ascii="Times New Roman" w:cs="Times New Roman" w:eastAsia="Times New Roman" w:hAnsi="Times New Roman"/>
          <w:color w:val="1F2937"/>
          <w:sz w:val="22"/>
          <w:szCs w:val="22"/>
        </w:rPr>
        <w:t xml:space="preserve">La finance comportementale est la discipline qui étudie l'influence des facteurs psychologiques et cognitifs sur les décisions financières. Elle remet en cause l'hypothèse de l'investisseur « rationnel » qui optimiserait parfaitement ses choix : en réalité, notre cerveau prend des raccourcis (heuristiques) et est soumis à des émotions qui génèrent des biais systématiques.</w:t>
      </w:r>
    </w:p>
    <w:p>
      <w:pPr>
        <w:spacing w:after="80" w:before="60"/>
      </w:pPr>
      <w:r>
        <w:rPr>
          <w:rFonts w:ascii="Times New Roman" w:cs="Times New Roman" w:eastAsia="Times New Roman" w:hAnsi="Times New Roman"/>
          <w:color w:val="1F2937"/>
          <w:sz w:val="22"/>
          <w:szCs w:val="22"/>
        </w:rPr>
        <w:t xml:space="preserve">Les travaux des psychologues Daniel Kahneman et Amos Tversky, en particulier leur théorie des perspectives (prospect theory), ont montré que la façon dont les individus évaluent les gains et les pertes est fondamentalement asymétrique. Ces travaux ont valu à Daniel Kahneman le prix Nobel d'économie en 2002 (Amos Tversky était décédé en 1996, et le prix Nobel n'est pas décerné à titre posthume).</w:t>
      </w:r>
    </w:p>
    <w:p>
      <w:pPr>
        <w:spacing w:after="80" w:before="60"/>
      </w:pPr>
      <w:r>
        <w:rPr>
          <w:rFonts w:ascii="Times New Roman" w:cs="Times New Roman" w:eastAsia="Times New Roman" w:hAnsi="Times New Roman"/>
          <w:color w:val="1F2937"/>
          <w:sz w:val="22"/>
          <w:szCs w:val="22"/>
        </w:rPr>
        <w:t xml:space="preserve">Un biais comportemental est une déviation systématique par rapport à la décision rationnelle. Ces biais ne sont pas des défauts de caractère : ils sont ancrés dans l'architecture cognitive du cerveau humain. La bonne nouvelle, c'est qu'une fois identifiés, ils peuvent être en partie contrés par des règles et des processus.</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Les 7 biais principaux de l'épargnant</w:t>
      </w:r>
    </w:p>
    <w:p>
      <w:pPr>
        <w:spacing w:after="80" w:before="60"/>
      </w:pPr>
      <w:r>
        <w:rPr>
          <w:rFonts w:ascii="Times New Roman" w:cs="Times New Roman" w:eastAsia="Times New Roman" w:hAnsi="Times New Roman"/>
          <w:color w:val="1F2937"/>
          <w:sz w:val="22"/>
          <w:szCs w:val="22"/>
        </w:rPr>
        <w:t xml:space="preserve">Voici les biais les plus fréquents, illustrés par des situations concrètes d'épargne et d'investissement :</w:t>
      </w:r>
    </w:p>
    <w:p>
      <w:pPr>
        <w:spacing w:after="40" w:before="40"/>
      </w:pPr>
      <w:r>
        <w:t xml:space="preserve"/>
      </w:r>
    </w:p>
    <w:tbl>
      <w:tblPr>
        <w:tblW w:type="pct" w:w="100%"/>
        <w:tblBorders>
          <w:top w:val="single" w:color="D1D5DB" w:sz="1"/>
          <w:left w:val="single" w:color="D1D5DB" w:sz="1"/>
          <w:bottom w:val="single" w:color="D1D5DB" w:sz="1"/>
          <w:right w:val="single" w:color="D1D5DB" w:sz="1"/>
          <w:insideH w:val="single" w:color="auto" w:sz="4"/>
          <w:insideV w:val="single" w:color="auto" w:sz="4"/>
        </w:tblBorders>
        <w:tblLayout w:type="fixed"/>
      </w:tblPr>
      <w:tblGrid>
        <w:gridCol w:w="100"/>
        <w:gridCol w:w="100"/>
      </w:tblGrid>
      <w:tr>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Biais</w:t>
            </w:r>
          </w:p>
        </w:tc>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Mécanisme et conséquence sur l'épargne</w:t>
            </w:r>
          </w:p>
        </w:tc>
      </w:tr>
      <w:tr>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Aversion aux pertes</w:t>
            </w:r>
          </w:p>
        </w:tc>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La douleur psychologique d'une perte est nettement plus intense que le plaisir d'un gain équivalent — les travaux de Kahneman et Tversky en mesurent l'ordre de grandeur, mais aucune des pages consultées pour cette leçon ne porte ce coefficient : il n'est donc pas chiffré ici. Conséquence : on préfère garder un placement en perte plutôt que de le vendre pour réinvestir, ou on laisse l'épargne en liquidités par peur de perdre. </w:t>
            </w:r>
            <w:r>
              <w:rPr>
                <w:rFonts w:ascii="Times New Roman" w:cs="Times New Roman" w:eastAsia="Times New Roman" w:hAnsi="Times New Roman"/>
                <w:i/>
                <w:iCs/>
                <w:color w:val="6B7280"/>
                <w:sz w:val="18"/>
                <w:szCs w:val="18"/>
              </w:rPr>
              <w:t xml:space="preserve">[Corrigé le 19/09/2026 : « environ deux fois plus intense » était le seul chiffre de la leçon sans source consultée.]</w:t>
            </w:r>
          </w:p>
        </w:tc>
      </w:tr>
      <w:tr>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Excès de confiance</w:t>
            </w:r>
          </w:p>
        </w:tc>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On surévalue ses propres compétences et sa capacité à « battre le marché ». On opère trop souvent, on sous-diversifie. Ce biais est accentué après une série de gains (mémoire sélective des succès).</w:t>
            </w:r>
          </w:p>
        </w:tc>
      </w:tr>
      <w:tr>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Biais de confirmation</w:t>
            </w:r>
          </w:p>
        </w:tc>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On recherche et mémorise uniquement les informations qui valident une décision déjà prise, en ignorant les signaux contraires. On reste accroché à un placement mauvais parce qu'on ne lit que les avis favorables.</w:t>
            </w:r>
          </w:p>
        </w:tc>
      </w:tr>
      <w:tr>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Biais d'ancrage</w:t>
            </w:r>
          </w:p>
        </w:tc>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On accorde une importance disproportionnée à un chiffre de référence — souvent le prix d'achat initial d'un actif. Ce prix passé n'a aucune incidence sur la valeur future, mais il paralyse : on refuse de vendre à perte même quand c'est rationnel.</w:t>
            </w:r>
          </w:p>
        </w:tc>
      </w:tr>
      <w:tr>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Biais rétrospectif (hindsight)</w:t>
            </w:r>
          </w:p>
        </w:tc>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Après un événement, on est convaincu qu'on « le savait » à l'avance. Ce biais alimente l'illusion de prédictibilité et l'excès de confiance : « J'aurais dû acheter du Bitcoin en 2020 » crée l'impression qu'on saura anticiper la prochaine opportunité.</w:t>
            </w:r>
          </w:p>
        </w:tc>
      </w:tr>
      <w:tr>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Effet moutonnier (grégarisme)</w:t>
            </w:r>
          </w:p>
        </w:tc>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On suit massivement les autres investisseurs par recherche de sécurité collective. En hausse, cela gonfle les bulles ; en baisse, cela amplifie les paniques. Un célèbre investisseur américain résume la posture contraire ainsi : il recommande d'être prudent quand tout le monde est enthousiaste, et d'être attentif aux opportunités quand la peur domine.</w:t>
            </w:r>
          </w:p>
        </w:tc>
      </w:tr>
      <w:tr>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Biais de disponibilité</w:t>
            </w:r>
          </w:p>
        </w:tc>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On surestime la probabilité d'événements récents ou marquants (un krach, une fraude médiatisée) et on sous-estime les tendances de long terme moins saillantes. Après une crise boursière, on voit le risque partout ; après une longue hausse, on l'oublie.</w:t>
            </w:r>
          </w:p>
        </w:tc>
      </w:tr>
    </w:tbl>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Comment les biais s'enchaînent et se renforcent</w:t>
      </w:r>
    </w:p>
    <w:p>
      <w:pPr>
        <w:spacing w:after="80" w:before="60"/>
      </w:pPr>
      <w:r>
        <w:rPr>
          <w:rFonts w:ascii="Times New Roman" w:cs="Times New Roman" w:eastAsia="Times New Roman" w:hAnsi="Times New Roman"/>
          <w:color w:val="1F2937"/>
          <w:sz w:val="22"/>
          <w:szCs w:val="22"/>
        </w:rPr>
        <w:t xml:space="preserve">Ces biais n'agissent pas seuls. Un scénario type : après avoir acheté une action (ancrage sur le prix d'achat), on lit uniquement les analyses favorables (confirmation), on ignore la baisse prolongée, on se convainc que « ça va remonter » (excès de confiance et biais rétrospectif), et finalement, pris de panique lors d'un repli général (grégarisme), on vend au plus bas — réalisant la perte qu'on voulait à tout prix éviter (aversion aux pertes).</w:t>
      </w:r>
    </w:p>
    <w:p>
      <w:pPr>
        <w:spacing w:after="80" w:before="60"/>
      </w:pPr>
      <w:r>
        <w:rPr>
          <w:rFonts w:ascii="Times New Roman" w:cs="Times New Roman" w:eastAsia="Times New Roman" w:hAnsi="Times New Roman"/>
          <w:color w:val="1F2937"/>
          <w:sz w:val="22"/>
          <w:szCs w:val="22"/>
        </w:rPr>
        <w:t xml:space="preserve">La conscience de ces mécanismes ne les élimine pas, mais elle permet de mettre en place des règles préalables : diversification, automatisation des versements, politique d'arbitrage définie à l'avance. C'est précisément ce que la leçon 14 présentait sous l'angle opérationnel.</w:t>
      </w:r>
    </w:p>
    <w:p>
      <w:pPr>
        <w:pStyle w:val="Heading2"/>
        <w:spacing w:after="100" w:before="28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Identifier le biais (compréhension active)</w:t>
      </w:r>
    </w:p>
    <w:p>
      <w:pPr>
        <w:spacing w:after="80" w:before="60"/>
      </w:pPr>
      <w:r>
        <w:rPr>
          <w:rFonts w:ascii="Times New Roman" w:cs="Times New Roman" w:eastAsia="Times New Roman" w:hAnsi="Times New Roman"/>
          <w:color w:val="1F2937"/>
          <w:sz w:val="22"/>
          <w:szCs w:val="22"/>
        </w:rPr>
        <w:t xml:space="preserve">Pour chacune des cinq situations ci-dessous, identifie le biais principal à l'œuvre et explique brièvement son mécanisme dans ce contexte.</w:t>
      </w:r>
    </w:p>
    <w:p>
      <w:pPr>
        <w:spacing w:after="40" w:before="40"/>
      </w:pPr>
      <w:r>
        <w:t xml:space="preserve"/>
      </w:r>
    </w:p>
    <w:tbl>
      <w:tblPr>
        <w:tblW w:type="pct" w:w="100%"/>
        <w:tblBorders>
          <w:top w:val="single" w:color="D1D5DB" w:sz="1"/>
          <w:left w:val="single" w:color="D1D5DB" w:sz="1"/>
          <w:bottom w:val="single" w:color="D1D5DB" w:sz="1"/>
          <w:right w:val="single" w:color="D1D5DB" w:sz="1"/>
          <w:insideH w:val="single" w:color="auto" w:sz="4"/>
          <w:insideV w:val="single" w:color="auto" w:sz="4"/>
        </w:tblBorders>
        <w:tblLayout w:type="fixed"/>
      </w:tblPr>
      <w:tblGrid>
        <w:gridCol w:w="100"/>
        <w:gridCol w:w="100"/>
      </w:tblGrid>
      <w:tr>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Situation</w:t>
            </w:r>
          </w:p>
        </w:tc>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Biais identifié et mécanisme</w:t>
            </w:r>
          </w:p>
        </w:tc>
      </w:tr>
      <w:tr>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A — Martine a acheté des parts de SCPI à 200 € l'unité. Elles valent 160 €. Elle refuse de les vendre « pour ne pas perdre », même si elle a identifié un placement plus adapté à son horizon.</w:t>
            </w:r>
          </w:p>
        </w:tc>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
            </w:r>
          </w:p>
        </w:tc>
      </w:tr>
      <w:tr>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B — Théo a suivi une formation en bourse en ligne. Il est convaincu de pouvoir sélectionner les meilleures actions et effectue 15 à 20 opérations par mois sur son PEA.</w:t>
            </w:r>
          </w:p>
        </w:tc>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
            </w:r>
          </w:p>
        </w:tc>
      </w:tr>
      <w:tr>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 — Après la faillite retentissante d'un acteur de la cryptomonnaie couverte par tous les médias, Sylvie refuse toute forme d'investissement « risqué », y compris les fonds obligataires de bonne qualité.</w:t>
            </w:r>
          </w:p>
        </w:tc>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
            </w:r>
          </w:p>
        </w:tc>
      </w:tr>
      <w:tr>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D — Paul relit uniquement les articles qui confirment sa conviction que les marchés émergents vont surperformer. Il ignore les analyses qui soulèvent des risques géopolitiques.</w:t>
            </w:r>
          </w:p>
        </w:tc>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
            </w:r>
          </w:p>
        </w:tc>
      </w:tr>
      <w:tr>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E — En 2021, pendant la hausse des marchés, François double ses positions chaque mois en disant qu'il « sentait » que ça allait monter. Il affirme maintenant qu'il l'avait bien prévu.</w:t>
            </w:r>
          </w:p>
        </w:tc>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
            </w:r>
          </w:p>
        </w:tc>
      </w:tr>
    </w:tbl>
    <w:p>
      <w:pPr>
        <w:spacing w:after="40" w:before="40"/>
      </w:pPr>
      <w:r>
        <w:t xml:space="preserve"/>
      </w:r>
    </w:p>
    <w:p>
      <w:pPr>
        <w:shd w:fill="F3F4F6" w:color="auto" w:val="clear"/>
        <w:spacing w:after="120" w:before="120"/>
        <w:ind w:left="360" w:right="360"/>
      </w:pPr>
      <w:r>
        <w:rPr>
          <w:rFonts w:ascii="Times New Roman" w:cs="Times New Roman" w:eastAsia="Times New Roman" w:hAnsi="Times New Roman"/>
          <w:i/>
          <w:iCs/>
          <w:color w:val="1F2937"/>
          <w:sz w:val="22"/>
          <w:szCs w:val="22"/>
        </w:rPr>
        <w:t xml:space="preserve">Corrigé proposé — A : deux biais ensemble — aversion aux pertes (vendre reviendrait à « réaliser » la perte) ET biais d'ancrage (le prix d'achat de 200 € sert de référence alors qu'il n'a aucune incidence sur la valeur future) ; c'est ce que la finance comportementale appelle l'effet de disposition, et la ligne « ancrage » du tableau de théorie décrit exactement ce cas. Les deux réponses sont justes, la meilleure les nomme toutes deux. B : excès de confiance (surestimation de sa capacité à sélectionner des titres gagnants). C : biais de disponibilité (la saillance médiatique de la faillite surestime la probabilité de perte sur tous les actifs). D : biais de confirmation (sélection des informations qui valident une décision préexistante). E : biais rétrospectif (conviction rétrospective d'avoir anticipé la hausse, alimentant l'excès de confiance pour les décisions futures). </w:t>
      </w:r>
      <w:r>
        <w:rPr>
          <w:rFonts w:ascii="Times New Roman" w:cs="Times New Roman" w:eastAsia="Times New Roman" w:hAnsi="Times New Roman"/>
          <w:i/>
          <w:iCs/>
          <w:color w:val="6B7280"/>
          <w:sz w:val="20"/>
          <w:szCs w:val="20"/>
        </w:rPr>
        <w:t xml:space="preserve">[Corrigé le 19/09/2026 : le corrigé ne nommait que l'aversion aux pertes, en l'expliquant par le mécanisme de l'ancrage ; le tableau de théorie donnait l'autre réponse.]</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Le coût de l'immobilisme (calcul)</w:t>
      </w:r>
    </w:p>
    <w:p>
      <w:pPr>
        <w:spacing w:after="80" w:before="60"/>
      </w:pPr>
      <w:r>
        <w:rPr>
          <w:rFonts w:ascii="Times New Roman" w:cs="Times New Roman" w:eastAsia="Times New Roman" w:hAnsi="Times New Roman"/>
          <w:color w:val="1F2937"/>
          <w:sz w:val="22"/>
          <w:szCs w:val="22"/>
        </w:rPr>
        <w:t xml:space="preserve">L'aversion aux pertes pousse souvent les épargnants à laisser leur argent sur des supports sécurisés à faible rendement, même sur un horizon de 7 à 8 ans. Cet exercice quantifie ce coût.</w:t>
      </w:r>
    </w:p>
    <w:p>
      <w:pPr>
        <w:spacing w:after="40" w:before="40"/>
      </w:pPr>
      <w:r>
        <w:t xml:space="preserve"/>
      </w:r>
    </w:p>
    <w:p>
      <w:pPr>
        <w:spacing w:after="80" w:before="60"/>
      </w:pPr>
      <w:r>
        <w:rPr>
          <w:rFonts w:ascii="Times New Roman" w:cs="Times New Roman" w:eastAsia="Times New Roman" w:hAnsi="Times New Roman"/>
          <w:color w:val="1F2937"/>
          <w:sz w:val="22"/>
          <w:szCs w:val="22"/>
        </w:rPr>
        <w:t xml:space="preserve">Hypothèse de départ : 20 000 € disponibles sur un horizon de 7 ans.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Scénario A — immobilisme lié à l'aversion aux pertes : placement sur Livret A au taux de 1,7 % par an en vigueur depuis le 1er août 2026 (source : service-public.gouv.fr).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Scénario B — allocation diversifiée illustrative à 4 % par an (hypothétique, à titre pédagogique uniquement — ce taux ne constitue pas une prévision ni une recommandation).</w:t>
      </w:r>
    </w:p>
    <w:p>
      <w:pPr>
        <w:spacing w:after="40" w:before="40"/>
      </w:pPr>
      <w:r>
        <w:t xml:space="preserve"/>
      </w:r>
    </w:p>
    <w:p>
      <w:pPr>
        <w:spacing w:after="80" w:before="60"/>
      </w:pPr>
      <w:r>
        <w:rPr>
          <w:rFonts w:ascii="Times New Roman" w:cs="Times New Roman" w:eastAsia="Times New Roman" w:hAnsi="Times New Roman"/>
          <w:color w:val="1F2937"/>
          <w:sz w:val="22"/>
          <w:szCs w:val="22"/>
        </w:rPr>
        <w:t xml:space="preserve">Questions :</w:t>
      </w:r>
    </w:p>
    <w:p>
      <w:pPr>
        <w:spacing w:after="80" w:before="60"/>
      </w:pPr>
      <w:r>
        <w:rPr>
          <w:rFonts w:ascii="Times New Roman" w:cs="Times New Roman" w:eastAsia="Times New Roman" w:hAnsi="Times New Roman"/>
          <w:color w:val="1F2937"/>
          <w:sz w:val="22"/>
          <w:szCs w:val="22"/>
        </w:rPr>
        <w:t xml:space="preserve">1. Calcule le capital final dans chaque scénario à l'issue de 7 ans en appliquant la formule des intérêts composés : C₇ = C₀ × (1 + r)^7</w:t>
      </w:r>
    </w:p>
    <w:p>
      <w:pPr>
        <w:spacing w:after="80" w:before="60"/>
      </w:pPr>
      <w:r>
        <w:rPr>
          <w:rFonts w:ascii="Times New Roman" w:cs="Times New Roman" w:eastAsia="Times New Roman" w:hAnsi="Times New Roman"/>
          <w:color w:val="1F2937"/>
          <w:sz w:val="22"/>
          <w:szCs w:val="22"/>
        </w:rPr>
        <w:t xml:space="preserve">2. Quel est l'écart entre les deux scénarios ?</w:t>
      </w:r>
    </w:p>
    <w:p>
      <w:pPr>
        <w:spacing w:after="80" w:before="60"/>
      </w:pPr>
      <w:r>
        <w:rPr>
          <w:rFonts w:ascii="Times New Roman" w:cs="Times New Roman" w:eastAsia="Times New Roman" w:hAnsi="Times New Roman"/>
          <w:color w:val="1F2937"/>
          <w:sz w:val="22"/>
          <w:szCs w:val="22"/>
        </w:rPr>
        <w:t xml:space="preserve">3. Comment nomme-t-on le montant que l'on renonce à percevoir en choisissant le scénario A ?</w:t>
      </w:r>
    </w:p>
    <w:p>
      <w:pPr>
        <w:spacing w:after="40" w:before="40"/>
      </w:pPr>
      <w:r>
        <w:t xml:space="preserve"/>
      </w:r>
    </w:p>
    <w:p>
      <w:pPr>
        <w:shd w:fill="F3F4F6" w:color="auto" w:val="clear"/>
        <w:spacing w:after="120" w:before="120"/>
        <w:ind w:left="360" w:right="360"/>
      </w:pPr>
      <w:r>
        <w:rPr>
          <w:rFonts w:ascii="Times New Roman" w:cs="Times New Roman" w:eastAsia="Times New Roman" w:hAnsi="Times New Roman"/>
          <w:i/>
          <w:iCs/>
          <w:color w:val="1F2937"/>
          <w:sz w:val="22"/>
          <w:szCs w:val="22"/>
        </w:rPr>
        <w:t xml:space="preserve">Corrigé — 1. Scénario A : facteur = (1,017)^7 = 1,1252 → 20 000 × 1,1252 ≈ 22 505 €. Scénario B : facteur = (1,04)^7 = 1,3159 → 20 000 × 1,3159 ≈ 26 319 €. 2. Écart : 26 319 − 22 505 = 3 814 €, soit plus de 19 % du capital initial. 3. On appelle cela un coût d'opportunité : c'est le gain auquel on renonce en préférant la sécurité apparente du scénario A. ⚠️ Rappel : le scénario B est purement illustratif. Un placement diversifié ne garantit pas 4 % et comporte un risque de perte en capital. Demander l'avis d'un CGP pour toute décision réelle.</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L'effet panique : que coûte vendre au plus bas ?</w:t>
      </w:r>
    </w:p>
    <w:p>
      <w:pPr>
        <w:spacing w:after="80" w:before="60"/>
      </w:pPr>
      <w:r>
        <w:rPr>
          <w:rFonts w:ascii="Times New Roman" w:cs="Times New Roman" w:eastAsia="Times New Roman" w:hAnsi="Times New Roman"/>
          <w:color w:val="1F2937"/>
          <w:sz w:val="22"/>
          <w:szCs w:val="22"/>
        </w:rPr>
        <w:t xml:space="preserve">En janvier N, Antoine place 15 000 € sur un support en unités de compte (UC). En mars, les marchés corrigent : son placement perd 20 %. Pris de panique (grégarisme + aversion aux pertes), il arbitre tout en fonds euros. Les marchés se reprennent ensuite de 25 % d'ici décembre N.</w:t>
      </w:r>
    </w:p>
    <w:p>
      <w:pPr>
        <w:spacing w:after="40" w:before="40"/>
      </w:pPr>
      <w:r>
        <w:t xml:space="preserve"/>
      </w:r>
    </w:p>
    <w:p>
      <w:pPr>
        <w:spacing w:after="80" w:before="60"/>
      </w:pPr>
      <w:r>
        <w:rPr>
          <w:rFonts w:ascii="Times New Roman" w:cs="Times New Roman" w:eastAsia="Times New Roman" w:hAnsi="Times New Roman"/>
          <w:color w:val="1F2937"/>
          <w:sz w:val="22"/>
          <w:szCs w:val="22"/>
        </w:rPr>
        <w:t xml:space="preserve">Questions :</w:t>
      </w:r>
    </w:p>
    <w:p>
      <w:pPr>
        <w:spacing w:after="80" w:before="60"/>
      </w:pPr>
      <w:r>
        <w:rPr>
          <w:rFonts w:ascii="Times New Roman" w:cs="Times New Roman" w:eastAsia="Times New Roman" w:hAnsi="Times New Roman"/>
          <w:color w:val="1F2937"/>
          <w:sz w:val="22"/>
          <w:szCs w:val="22"/>
        </w:rPr>
        <w:t xml:space="preserve">1. Quel est le capital d'Antoine après la baisse de 20 % (avant arbitrage) ?</w:t>
      </w:r>
    </w:p>
    <w:p>
      <w:pPr>
        <w:spacing w:after="80" w:before="60"/>
      </w:pPr>
      <w:r>
        <w:rPr>
          <w:rFonts w:ascii="Times New Roman" w:cs="Times New Roman" w:eastAsia="Times New Roman" w:hAnsi="Times New Roman"/>
          <w:color w:val="1F2937"/>
          <w:sz w:val="22"/>
          <w:szCs w:val="22"/>
        </w:rPr>
        <w:t xml:space="preserve">2. Si Antoine avait tenu sa position, quel aurait été son capital en décembre N, après la reprise de 25 % ?</w:t>
      </w:r>
    </w:p>
    <w:p>
      <w:pPr>
        <w:spacing w:after="80" w:before="60"/>
      </w:pPr>
      <w:r>
        <w:rPr>
          <w:rFonts w:ascii="Times New Roman" w:cs="Times New Roman" w:eastAsia="Times New Roman" w:hAnsi="Times New Roman"/>
          <w:color w:val="1F2937"/>
          <w:sz w:val="22"/>
          <w:szCs w:val="22"/>
        </w:rPr>
        <w:t xml:space="preserve">3. Antoine a vendu au plus bas et est resté en fonds euros jusqu'à décembre N. Quel est son capital en décembre N ? Quel est son manque à gagner par rapport à l'investisseur qui a tenu ?</w:t>
      </w:r>
    </w:p>
    <w:p>
      <w:pPr>
        <w:spacing w:after="80" w:before="60"/>
      </w:pPr>
      <w:r>
        <w:rPr>
          <w:rFonts w:ascii="Times New Roman" w:cs="Times New Roman" w:eastAsia="Times New Roman" w:hAnsi="Times New Roman"/>
          <w:color w:val="1F2937"/>
          <w:sz w:val="22"/>
          <w:szCs w:val="22"/>
        </w:rPr>
        <w:t xml:space="preserve">4. Quel est le rendement minimal que doivent réaliser les UC pour qu'Antoine retrouve son capital initial de 15 000 € s'il réinvestit en décembre N ?</w:t>
      </w:r>
    </w:p>
    <w:p>
      <w:pPr>
        <w:spacing w:after="40" w:before="40"/>
      </w:pPr>
      <w:r>
        <w:t xml:space="preserve"/>
      </w:r>
    </w:p>
    <w:p>
      <w:pPr>
        <w:shd w:fill="F3F4F6" w:color="auto" w:val="clear"/>
        <w:spacing w:after="120" w:before="120"/>
        <w:ind w:left="360" w:right="360"/>
      </w:pPr>
      <w:r>
        <w:rPr>
          <w:rFonts w:ascii="Times New Roman" w:cs="Times New Roman" w:eastAsia="Times New Roman" w:hAnsi="Times New Roman"/>
          <w:i/>
          <w:iCs/>
          <w:color w:val="1F2937"/>
          <w:sz w:val="22"/>
          <w:szCs w:val="22"/>
        </w:rPr>
        <w:t xml:space="preserve">Corrigé — 1. Après −20 % : 15 000 × 0,80 = 12 000 €. 2. Si Antoine tient : 15 000 × 0,80 × 1,25 = 15 000 × 1,00 = 15 000 €. La baisse de 20 % annulée par une hausse de 25 % ramène exactement au capital initial (0,80 × 1,25 = 1,00). 3. Antoine en fonds euros en décembre N : 12 000 € (supposant un rendement fonds euros nul sur cette période). Manque à gagner : 15 000 − 12 000 = 3 000 €. 4. Pour retrouver 15 000 € à partir de 12 000 €, il faut une hausse de 15 000/12 000 − 1 = 25 %. Ce calcul illustre la dissymétrie des pertes : une baisse de 20 % exige une hausse de 25 % pour être effacée.</w:t>
      </w:r>
    </w:p>
    <w:p>
      <w:pPr>
        <w:pStyle w:val="Heading2"/>
        <w:spacing w:after="100" w:before="280"/>
      </w:pPr>
      <w:r>
        <w:rPr>
          <w:rFonts w:ascii="Times New Roman" w:cs="Times New Roman" w:eastAsia="Times New Roman" w:hAnsi="Times New Roman"/>
          <w:b/>
          <w:bCs/>
          <w:color w:val="1B3A6B"/>
          <w:sz w:val="30"/>
          <w:szCs w:val="30"/>
        </w:rPr>
        <w:t xml:space="preserve">🎯 Challenge — Dresser ton profil de biais</w:t>
      </w:r>
    </w:p>
    <w:p>
      <w:pPr>
        <w:spacing w:after="80" w:before="60"/>
      </w:pPr>
      <w:r>
        <w:rPr>
          <w:rFonts w:ascii="Times New Roman" w:cs="Times New Roman" w:eastAsia="Times New Roman" w:hAnsi="Times New Roman"/>
          <w:color w:val="1F2937"/>
          <w:sz w:val="22"/>
          <w:szCs w:val="22"/>
        </w:rPr>
        <w:t xml:space="preserve">Ce challenge de synthèse mobilise l'ensemble des biais vus dans la leçon. Réponds honnêtement, par écrit, aux questions suivantes (il n'y a pas de « bonne » réponse absolue — l'objectif est la prise de conscience) :</w:t>
      </w:r>
    </w:p>
    <w:p>
      <w:pPr>
        <w:spacing w:after="40" w:before="40"/>
      </w:pPr>
      <w:r>
        <w:t xml:space="preserve"/>
      </w:r>
    </w:p>
    <w:p>
      <w:pPr>
        <w:spacing w:after="80" w:before="60"/>
      </w:pPr>
      <w:r>
        <w:rPr>
          <w:rFonts w:ascii="Times New Roman" w:cs="Times New Roman" w:eastAsia="Times New Roman" w:hAnsi="Times New Roman"/>
          <w:color w:val="1F2937"/>
          <w:sz w:val="22"/>
          <w:szCs w:val="22"/>
        </w:rPr>
        <w:t xml:space="preserve">1. Repense à une décision financière récente (épargne, placement, rachat). Quel(s) biais as-tu pu y reconnaître rétrospectivement ?</w:t>
      </w:r>
    </w:p>
    <w:p>
      <w:pPr>
        <w:spacing w:after="80" w:before="60"/>
      </w:pPr>
      <w:r>
        <w:rPr>
          <w:rFonts w:ascii="Times New Roman" w:cs="Times New Roman" w:eastAsia="Times New Roman" w:hAnsi="Times New Roman"/>
          <w:color w:val="1F2937"/>
          <w:sz w:val="22"/>
          <w:szCs w:val="22"/>
        </w:rPr>
        <w:t xml:space="preserve">2. Sur une échelle de 1 (biais faible) à 5 (biais fort), évalue-toi sur chacun des 7 biais vus en théorie. Quels sont tes 2-3 biais dominants ?</w:t>
      </w:r>
    </w:p>
    <w:p>
      <w:pPr>
        <w:spacing w:after="80" w:before="60"/>
      </w:pPr>
      <w:r>
        <w:rPr>
          <w:rFonts w:ascii="Times New Roman" w:cs="Times New Roman" w:eastAsia="Times New Roman" w:hAnsi="Times New Roman"/>
          <w:color w:val="1F2937"/>
          <w:sz w:val="22"/>
          <w:szCs w:val="22"/>
        </w:rPr>
        <w:t xml:space="preserve">3. Pour chacun de tes biais dominants, formule une règle personnelle concrète et préalable qui te permettrait de le contrecarrer (exemple : « Avant tout arbitrage en période de baisse, j'attends 48 h et je relis ma lettre de mission de risque »).</w:t>
      </w:r>
    </w:p>
    <w:p>
      <w:pPr>
        <w:spacing w:after="80" w:before="60"/>
      </w:pPr>
      <w:r>
        <w:rPr>
          <w:rFonts w:ascii="Times New Roman" w:cs="Times New Roman" w:eastAsia="Times New Roman" w:hAnsi="Times New Roman"/>
          <w:color w:val="1F2937"/>
          <w:sz w:val="22"/>
          <w:szCs w:val="22"/>
        </w:rPr>
        <w:t xml:space="preserve">4. Dans quels contextes de vie (pression familiale, actualité médiatique, fatigue) tes biais sont-ils le plus susceptibles de s'amplifier ?</w:t>
      </w:r>
    </w:p>
    <w:p>
      <w:pPr>
        <w:spacing w:after="40" w:before="40"/>
      </w:pPr>
      <w:r>
        <w:t xml:space="preserve"/>
      </w:r>
    </w:p>
    <w:p>
      <w:pPr>
        <w:shd w:fill="F3F4F6" w:color="auto" w:val="clear"/>
        <w:spacing w:after="120" w:before="120"/>
        <w:ind w:left="360" w:right="360"/>
      </w:pPr>
      <w:r>
        <w:rPr>
          <w:rFonts w:ascii="Times New Roman" w:cs="Times New Roman" w:eastAsia="Times New Roman" w:hAnsi="Times New Roman"/>
          <w:i/>
          <w:iCs/>
          <w:color w:val="1F2937"/>
          <w:sz w:val="22"/>
          <w:szCs w:val="22"/>
        </w:rPr>
        <w:t xml:space="preserve">Piste de corrigé — Ce que la page de l'IEFP consultée pour cette leçon dit des épargnants français : absence fréquente de détention d'actions (en direct ou via OPC et unités de compte), diversification très insuffisante, mémoire sélective, pertes qui marquent plus que les gains, tendance à prolonger les tendances de court terme, biais de familiarité et biais de confirmation. Elle ne classe pas ces biais par fréquence, et ne parle pas d'effet moutonnier — celui-ci vient de la page Yomoni. Il n'existe pas de profil universel : l'objectif de ce challenge est de te doter d'un outil d'auto-observation, pas d'un diagnostic. </w:t>
      </w:r>
      <w:r>
        <w:rPr>
          <w:rFonts w:ascii="Times New Roman" w:cs="Times New Roman" w:eastAsia="Times New Roman" w:hAnsi="Times New Roman"/>
          <w:i/>
          <w:iCs/>
          <w:color w:val="6B7280"/>
          <w:sz w:val="20"/>
          <w:szCs w:val="20"/>
        </w:rPr>
        <w:t xml:space="preserve">[Corrigé le 19/09/2026 : la première version prêtait à l'IEFP une hiérarchie — aversion aux pertes, confirmation, effet moutonnier, avec trois précisions — que sa page ne pose pas ; « moutonnier » n'y figure pas.]</w:t>
      </w:r>
    </w:p>
    <w:p>
      <w:pPr>
        <w:pStyle w:val="Heading2"/>
        <w:spacing w:after="100" w:before="280"/>
      </w:pPr>
      <w:r>
        <w:rPr>
          <w:rFonts w:ascii="Times New Roman" w:cs="Times New Roman" w:eastAsia="Times New Roman" w:hAnsi="Times New Roman"/>
          <w:b/>
          <w:bCs/>
          <w:color w:val="1B3A6B"/>
          <w:sz w:val="30"/>
          <w:szCs w:val="30"/>
        </w:rPr>
        <w:t xml:space="preserve">🌉 Pont pro</w:t>
      </w:r>
    </w:p>
    <w:p>
      <w:pPr>
        <w:spacing w:after="80" w:before="60"/>
      </w:pPr>
      <w:r>
        <w:rPr>
          <w:rFonts w:ascii="Times New Roman" w:cs="Times New Roman" w:eastAsia="Times New Roman" w:hAnsi="Times New Roman"/>
          <w:color w:val="1F2937"/>
          <w:sz w:val="22"/>
          <w:szCs w:val="22"/>
        </w:rPr>
        <w:t xml:space="preserve">Les biais comportementaux ne s'arrêtent pas à l'épargne personnelle. En management d'équipe en ESSMS, on retrouve des mécanismes homologues : le biais de confirmation dans l'évaluation des pratiques professionnelles (on retient les observations qui confirment son jugement préalable sur un collaborateur), l'effet moutonnier dans les décisions collectives (une proposition portée par un professionnel charismatique peut emporter un consensus sans véritable examen), ou encore l'ancrage dans la négociation budgétaire (la première proposition faite pèse sur toutes les suivantes). La prise de conscience de ces mécanismes — ici développée dans un cadre personnel d'éducation financière — renforce la vigilance dans les processus de décision professionnels.</w:t>
      </w:r>
    </w:p>
    <w:p>
      <w:pPr>
        <w:pStyle w:val="Heading2"/>
        <w:spacing w:after="100" w:before="280"/>
      </w:pPr>
      <w:r>
        <w:rPr>
          <w:rFonts w:ascii="Times New Roman" w:cs="Times New Roman" w:eastAsia="Times New Roman" w:hAnsi="Times New Roman"/>
          <w:b/>
          <w:bCs/>
          <w:color w:val="1B3A6B"/>
          <w:sz w:val="30"/>
          <w:szCs w:val="30"/>
        </w:rPr>
        <w:t xml:space="preserve">📚 Ressources</w:t>
      </w:r>
    </w:p>
    <w:p>
      <w:pPr>
        <w:spacing w:after="80" w:before="60"/>
      </w:pPr>
      <w:r>
        <w:rPr>
          <w:rFonts w:ascii="Times New Roman" w:cs="Times New Roman" w:eastAsia="Times New Roman" w:hAnsi="Times New Roman"/>
          <w:color w:val="1F2937"/>
          <w:sz w:val="22"/>
          <w:szCs w:val="22"/>
        </w:rPr>
        <w:t xml:space="preserve">Sources consultées et testées pour cette leçon :</w:t>
      </w:r>
    </w:p>
    <w:p>
      <w:pPr>
        <w:spacing w:after="40" w:before="40"/>
      </w:pPr>
      <w:r>
        <w:t xml:space="preserve"/>
      </w:r>
    </w:p>
    <w:p>
      <w:pPr>
        <w:spacing w:after="40" w:before="60"/>
      </w:pPr>
      <w:r>
        <w:rPr>
          <w:rFonts w:ascii="Times New Roman" w:cs="Times New Roman" w:eastAsia="Times New Roman" w:hAnsi="Times New Roman"/>
          <w:color w:val="1F2937"/>
          <w:sz w:val="22"/>
          <w:szCs w:val="22"/>
        </w:rPr>
        <w:t xml:space="preserve">1. La Finance pour Tous (IEFP) — </w:t>
      </w:r>
      <w:hyperlink w:history="1" r:id="rIdkew-mdmepw0bdywa8lfzz">
        <w:r>
          <w:rPr>
            <w:rFonts w:ascii="Times New Roman" w:cs="Times New Roman" w:eastAsia="Times New Roman" w:hAnsi="Times New Roman"/>
            <w:color w:val="1155CC"/>
            <w:sz w:val="22"/>
            <w:szCs w:val="22"/>
            <w:u w:val="single"/>
          </w:rPr>
          <w:t xml:space="preserve">Nos comportements en matière d'argent sont-ils rationnels ?</w:t>
        </w:r>
      </w:hyperlink>
      <w:r>
        <w:rPr>
          <w:rFonts w:ascii="Times New Roman" w:cs="Times New Roman" w:eastAsia="Times New Roman" w:hAnsi="Times New Roman"/>
          <w:color w:val="1F2937"/>
          <w:sz w:val="22"/>
          <w:szCs w:val="22"/>
        </w:rPr>
        <w:t xml:space="preserve"> — biais de planification, aversion aux pertes, biais de familiarité, rôle de Kahneman (Nobel 2002).</w:t>
      </w:r>
    </w:p>
    <w:p>
      <w:pPr>
        <w:spacing w:after="40" w:before="60"/>
      </w:pPr>
      <w:r>
        <w:rPr>
          <w:rFonts w:ascii="Times New Roman" w:cs="Times New Roman" w:eastAsia="Times New Roman" w:hAnsi="Times New Roman"/>
          <w:color w:val="1F2937"/>
          <w:sz w:val="22"/>
          <w:szCs w:val="22"/>
        </w:rPr>
        <w:t xml:space="preserve">2. La Finance pour Tous (IEFP) — </w:t>
      </w:r>
      <w:hyperlink w:history="1" r:id="rId0xuqym_otslyjyhqlyegd">
        <w:r>
          <w:rPr>
            <w:rFonts w:ascii="Times New Roman" w:cs="Times New Roman" w:eastAsia="Times New Roman" w:hAnsi="Times New Roman"/>
            <w:color w:val="1155CC"/>
            <w:sz w:val="22"/>
            <w:szCs w:val="22"/>
            <w:u w:val="single"/>
          </w:rPr>
          <w:t xml:space="preserve">Psychologie et finance (rubrique)</w:t>
        </w:r>
      </w:hyperlink>
      <w:r>
        <w:rPr>
          <w:rFonts w:ascii="Times New Roman" w:cs="Times New Roman" w:eastAsia="Times New Roman" w:hAnsi="Times New Roman"/>
          <w:color w:val="1F2937"/>
          <w:sz w:val="22"/>
          <w:szCs w:val="22"/>
        </w:rPr>
        <w:t xml:space="preserve"> — portail des articles de l'IEFP sur la dimension comportementale de l'épargne.</w:t>
      </w:r>
    </w:p>
    <w:p>
      <w:pPr>
        <w:spacing w:after="40" w:before="60"/>
      </w:pPr>
      <w:r>
        <w:rPr>
          <w:rFonts w:ascii="Times New Roman" w:cs="Times New Roman" w:eastAsia="Times New Roman" w:hAnsi="Times New Roman"/>
          <w:color w:val="1F2937"/>
          <w:sz w:val="22"/>
          <w:szCs w:val="22"/>
        </w:rPr>
        <w:t xml:space="preserve">3. La Finance pour Tous (IEFP) — </w:t>
      </w:r>
      <w:hyperlink w:history="1" r:id="rIdaeulfsx4-ujtld9yd5m5y">
        <w:r>
          <w:rPr>
            <w:rFonts w:ascii="Times New Roman" w:cs="Times New Roman" w:eastAsia="Times New Roman" w:hAnsi="Times New Roman"/>
            <w:color w:val="1155CC"/>
            <w:sz w:val="22"/>
            <w:szCs w:val="22"/>
            <w:u w:val="single"/>
          </w:rPr>
          <w:t xml:space="preserve">Bibliothèque : 50 petites expériences en psychologie de l'épargnant et de l'investisseur</w:t>
        </w:r>
      </w:hyperlink>
      <w:r>
        <w:rPr>
          <w:rFonts w:ascii="Times New Roman" w:cs="Times New Roman" w:eastAsia="Times New Roman" w:hAnsi="Times New Roman"/>
          <w:color w:val="1F2937"/>
          <w:sz w:val="22"/>
          <w:szCs w:val="22"/>
        </w:rPr>
        <w:t xml:space="preserve"> — ouvrage de référence pour aller plus loin sur les biais comportementaux appliqués à l'épargne.</w:t>
      </w:r>
    </w:p>
    <w:p>
      <w:pPr>
        <w:spacing w:after="40" w:before="60"/>
      </w:pPr>
      <w:r>
        <w:rPr>
          <w:rFonts w:ascii="Times New Roman" w:cs="Times New Roman" w:eastAsia="Times New Roman" w:hAnsi="Times New Roman"/>
          <w:color w:val="1F2937"/>
          <w:sz w:val="22"/>
          <w:szCs w:val="22"/>
        </w:rPr>
        <w:t xml:space="preserve">4. Blog Yomoni — </w:t>
      </w:r>
      <w:hyperlink w:history="1" r:id="rIdmf_3to_ka61wc4ho9tsdw">
        <w:r>
          <w:rPr>
            <w:rFonts w:ascii="Times New Roman" w:cs="Times New Roman" w:eastAsia="Times New Roman" w:hAnsi="Times New Roman"/>
            <w:color w:val="1155CC"/>
            <w:sz w:val="22"/>
            <w:szCs w:val="22"/>
            <w:u w:val="single"/>
          </w:rPr>
          <w:t xml:space="preserve">Les biais comportementaux : quand notre cerveau nous joue des tours</w:t>
        </w:r>
      </w:hyperlink>
      <w:r>
        <w:rPr>
          <w:rFonts w:ascii="Times New Roman" w:cs="Times New Roman" w:eastAsia="Times New Roman" w:hAnsi="Times New Roman"/>
          <w:color w:val="1F2937"/>
          <w:sz w:val="22"/>
          <w:szCs w:val="22"/>
        </w:rPr>
        <w:t xml:space="preserve"> — sept biais avec exemples concrets, dont six des sept de cette leçon (Yomoni traite du biais d'information, pas du biais de disponibilité ; article daté du 16 août 2022). ⚠️ Source secondaire : Yomoni est une société de gestion ; consulter en complément des sources officielles.</w:t>
      </w:r>
      <w:r>
        <w:rPr>
          <w:rFonts w:ascii="Times New Roman" w:cs="Times New Roman" w:eastAsia="Times New Roman" w:hAnsi="Times New Roman"/>
          <w:i/>
          <w:iCs/>
          <w:color w:val="6B7280"/>
          <w:sz w:val="20"/>
          <w:szCs w:val="20"/>
        </w:rPr>
        <w:t xml:space="preserve"> [Corrigé le 19/09/2026 : le libellé disait « les 7 biais principaux » ; les sept de Yomoni ne sont pas les sept de la leçon.]</w:t>
      </w:r>
    </w:p>
    <w:p>
      <w:pPr>
        <w:spacing w:after="40" w:before="60"/>
      </w:pPr>
      <w:r>
        <w:rPr>
          <w:rFonts w:ascii="Times New Roman" w:cs="Times New Roman" w:eastAsia="Times New Roman" w:hAnsi="Times New Roman"/>
          <w:color w:val="1F2937"/>
          <w:sz w:val="22"/>
          <w:szCs w:val="22"/>
        </w:rPr>
        <w:t xml:space="preserve">5. AMF — </w:t>
      </w:r>
      <w:hyperlink w:history="1" r:id="rIdfvwmaiba8mi3hbuc7shf9">
        <w:r>
          <w:rPr>
            <w:rFonts w:ascii="Times New Roman" w:cs="Times New Roman" w:eastAsia="Times New Roman" w:hAnsi="Times New Roman"/>
            <w:color w:val="1155CC"/>
            <w:sz w:val="22"/>
            <w:szCs w:val="22"/>
            <w:u w:val="single"/>
          </w:rPr>
          <w:t xml:space="preserve">Espace épargnants</w:t>
        </w:r>
      </w:hyperlink>
      <w:r>
        <w:rPr>
          <w:rFonts w:ascii="Times New Roman" w:cs="Times New Roman" w:eastAsia="Times New Roman" w:hAnsi="Times New Roman"/>
          <w:color w:val="1F2937"/>
          <w:sz w:val="22"/>
          <w:szCs w:val="22"/>
        </w:rPr>
        <w:t xml:space="preserve"> — ressources du régulateur pour les épargnants particuliers (éducation, alertes, simulateurs).</w:t>
      </w:r>
    </w:p>
    <w:p>
      <w:pPr>
        <w:spacing w:after="40" w:before="60"/>
      </w:pPr>
      <w:r>
        <w:rPr>
          <w:rFonts w:ascii="Times New Roman" w:cs="Times New Roman" w:eastAsia="Times New Roman" w:hAnsi="Times New Roman"/>
          <w:color w:val="1F2937"/>
          <w:sz w:val="22"/>
          <w:szCs w:val="22"/>
        </w:rPr>
        <w:t xml:space="preserve">6. Service-Public.gouv.fr — </w:t>
      </w:r>
      <w:hyperlink w:history="1" r:id="rIdwtkjpu3za-sahinn3g1-8">
        <w:r>
          <w:rPr>
            <w:rFonts w:ascii="Times New Roman" w:cs="Times New Roman" w:eastAsia="Times New Roman" w:hAnsi="Times New Roman"/>
            <w:color w:val="1155CC"/>
            <w:sz w:val="22"/>
            <w:szCs w:val="22"/>
            <w:u w:val="single"/>
          </w:rPr>
          <w:t xml:space="preserve">Livret A : taux en vigueur</w:t>
        </w:r>
      </w:hyperlink>
      <w:r>
        <w:rPr>
          <w:rFonts w:ascii="Times New Roman" w:cs="Times New Roman" w:eastAsia="Times New Roman" w:hAnsi="Times New Roman"/>
          <w:color w:val="1F2937"/>
          <w:sz w:val="22"/>
          <w:szCs w:val="22"/>
        </w:rPr>
        <w:t xml:space="preserve"> — taux 1,7 % applicable du 1er août 2026 au 31 janvier 2027 (source primaire utilisée pour l'exercice 2).</w:t>
      </w:r>
    </w:p>
    <w:p>
      <w:pPr>
        <w:spacing w:after="40" w:before="40"/>
      </w:pPr>
      <w:r>
        <w:t xml:space="preserve"/>
      </w:r>
    </w:p>
    <w:p>
      <w:pPr>
        <w:pStyle w:val="Heading2"/>
        <w:spacing w:after="100" w:before="280"/>
      </w:pPr>
      <w:r>
        <w:rPr>
          <w:rFonts w:ascii="Times New Roman" w:cs="Times New Roman" w:eastAsia="Times New Roman" w:hAnsi="Times New Roman"/>
          <w:b/>
          <w:bCs/>
          <w:color w:val="1B3A6B"/>
          <w:sz w:val="30"/>
          <w:szCs w:val="30"/>
        </w:rPr>
        <w:t xml:space="preserve">👤 Pour aller plus loin avec un professionnel</w:t>
      </w:r>
    </w:p>
    <w:p>
      <w:pPr>
        <w:spacing w:after="80" w:before="60"/>
      </w:pPr>
      <w:r>
        <w:rPr>
          <w:rFonts w:ascii="Times New Roman" w:cs="Times New Roman" w:eastAsia="Times New Roman" w:hAnsi="Times New Roman"/>
          <w:color w:val="1F2937"/>
          <w:sz w:val="22"/>
          <w:szCs w:val="22"/>
        </w:rPr>
        <w:t xml:space="preserve">Questions concrètes à poser à un conseiller en gestion de patrimoine (CGP) ou un CIF agréé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Comment mon profil investisseur (questionnaire MIF2) a-t-il été construit, et intègre-t-il mes biais potentiels, notamment l'aversion aux pertes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Quelles règles d'arbitrage préalables pouvez-vous intégrer dans mon mandat pour m'éviter de réagir à chaud en cas de forte baisse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Existe-t-il des mécanismes automatiques (versements programmés, rééquilibrage périodique) qui réduiraient mon exposition aux biais comportementaux dans la gestion de mon contrat ?</w:t>
      </w:r>
    </w:p>
    <w:p>
      <w:pPr>
        <w:pStyle w:val="Heading2"/>
        <w:spacing w:after="100" w:before="280"/>
      </w:pPr>
      <w:r>
        <w:rPr>
          <w:rFonts w:ascii="Times New Roman" w:cs="Times New Roman" w:eastAsia="Times New Roman" w:hAnsi="Times New Roman"/>
          <w:b/>
          <w:bCs/>
          <w:color w:val="1B3A6B"/>
          <w:sz w:val="30"/>
          <w:szCs w:val="30"/>
        </w:rPr>
        <w:t xml:space="preserve">🔜 Prochaine leçon</w:t>
      </w:r>
    </w:p>
    <w:p>
      <w:pPr>
        <w:spacing w:after="80" w:before="60"/>
      </w:pPr>
      <w:r>
        <w:rPr>
          <w:rFonts w:ascii="Times New Roman" w:cs="Times New Roman" w:eastAsia="Times New Roman" w:hAnsi="Times New Roman"/>
          <w:color w:val="1F2937"/>
          <w:sz w:val="22"/>
          <w:szCs w:val="22"/>
        </w:rPr>
        <w:t xml:space="preserve">Leçon 16 / 20 — Transmission, succession et démembrement</w:t>
      </w:r>
    </w:p>
    <w:p>
      <w:pPr>
        <w:spacing w:after="80" w:before="60"/>
      </w:pPr>
      <w:r>
        <w:rPr>
          <w:rFonts w:ascii="Times New Roman" w:cs="Times New Roman" w:eastAsia="Times New Roman" w:hAnsi="Times New Roman"/>
          <w:color w:val="1F2937"/>
          <w:sz w:val="22"/>
          <w:szCs w:val="22"/>
        </w:rPr>
        <w:t xml:space="preserve">Thèmes abordés : donation, succession, usufruit et nue-propriété, démembrement de contrat d'assurance-vie, abattements fiscaux, pacte Dutreil. Pertinent dans la perspective d'un horizon de placement de 7-8 ans : anticiper la transmission est une composante intégrante de la gestion patrimoniale de moyen terme.</w:t>
      </w:r>
    </w:p>
    <w:p>
      <w:pPr>
        <w:pStyle w:val="Heading2"/>
        <w:spacing w:after="100" w:before="280"/>
      </w:pPr>
      <w:r>
        <w:rPr>
          <w:rFonts w:ascii="Times New Roman" w:cs="Times New Roman" w:eastAsia="Times New Roman" w:hAnsi="Times New Roman"/>
          <w:b/>
          <w:bCs/>
          <w:color w:val="1B3A6B"/>
          <w:sz w:val="30"/>
          <w:szCs w:val="30"/>
        </w:rPr>
        <w:t xml:space="preserve">📝 Journal des corrections (19/09/2026)</w:t>
      </w:r>
    </w:p>
    <w:p>
      <w:pPr>
        <w:spacing w:after="40" w:before="60"/>
      </w:pPr>
      <w:r>
        <w:rPr>
          <w:rFonts w:ascii="Times New Roman" w:cs="Times New Roman" w:eastAsia="Times New Roman" w:hAnsi="Times New Roman"/>
          <w:color w:val="1F2937"/>
          <w:sz w:val="22"/>
          <w:szCs w:val="22"/>
        </w:rPr>
        <w:t xml:space="preserve">Relecture du 19/09/2026, chaque point vérifié sur les pages citées. Les corrections sont intégrées ci-dessus avec un marqueur daté ; ce journal garde la formulation d'origine.</w:t>
      </w:r>
    </w:p>
    <w:p>
      <w:pPr>
        <w:spacing w:after="40" w:before="60"/>
      </w:pPr>
      <w:r>
        <w:rPr>
          <w:rFonts w:ascii="Times New Roman" w:cs="Times New Roman" w:eastAsia="Times New Roman" w:hAnsi="Times New Roman"/>
          <w:color w:val="1F2937"/>
          <w:sz w:val="22"/>
          <w:szCs w:val="22"/>
        </w:rPr>
        <w:t xml:space="preserve">• Tableau, aversion aux pertes : « La douleur psychologique d'une perte est environ deux fois plus intense que le plaisir d'un gain équivalent. » — coefficient absent des six pages consultées.</w:t>
      </w:r>
    </w:p>
    <w:p>
      <w:pPr>
        <w:spacing w:after="40" w:before="60"/>
      </w:pPr>
      <w:r>
        <w:rPr>
          <w:rFonts w:ascii="Times New Roman" w:cs="Times New Roman" w:eastAsia="Times New Roman" w:hAnsi="Times New Roman"/>
          <w:color w:val="1F2937"/>
          <w:sz w:val="22"/>
          <w:szCs w:val="22"/>
        </w:rPr>
        <w:t xml:space="preserve">• Corrigé de la situation A : « aversion aux pertes (le prix d'ancrage de 200 € bloque la décision rationnelle de réallouer) » — un seul biais admis, expliqué par un autre.</w:t>
      </w:r>
    </w:p>
    <w:p>
      <w:pPr>
        <w:spacing w:after="40" w:before="60"/>
      </w:pPr>
      <w:r>
        <w:rPr>
          <w:rFonts w:ascii="Times New Roman" w:cs="Times New Roman" w:eastAsia="Times New Roman" w:hAnsi="Times New Roman"/>
          <w:color w:val="1F2937"/>
          <w:sz w:val="22"/>
          <w:szCs w:val="22"/>
        </w:rPr>
        <w:t xml:space="preserve">• Piste de corrigé : « Les biais les plus courants en France, selon la littérature sur le comportement des épargnants (IEFP), sont l'aversion aux pertes (surtout chez les épargnants peu familiers des marchés), le biais de confirmation (sur les supports les plus médiatisés), et l'effet moutonnier lors des phases de marché extrêmes. » — la page IEFP ne dit ni la hiérarchie, ni les précisions, ni « moutonnier ».</w:t>
      </w:r>
    </w:p>
    <w:p>
      <w:pPr>
        <w:spacing w:after="40" w:before="60"/>
      </w:pPr>
      <w:r>
        <w:rPr>
          <w:rFonts w:ascii="Times New Roman" w:cs="Times New Roman" w:eastAsia="Times New Roman" w:hAnsi="Times New Roman"/>
          <w:color w:val="1F2937"/>
          <w:sz w:val="22"/>
          <w:szCs w:val="22"/>
        </w:rPr>
        <w:t xml:space="preserve">• Ressource 4 : « présentation pédagogique des 7 biais principaux avec exemples concrets » — six sur sept coïncident.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ew-mdmepw0bdywa8lfzz" Type="http://schemas.openxmlformats.org/officeDocument/2006/relationships/hyperlink" Target="https://www.lafinancepourtous.com/decryptages/finance-perso/epargne-et-placement/psychologie-et-finance/nos-comportements-en-matiere-d-argent-sont-ils-rationnels/" TargetMode="External"/><Relationship Id="rId0xuqym_otslyjyhqlyegd" Type="http://schemas.openxmlformats.org/officeDocument/2006/relationships/hyperlink" Target="https://www.lafinancepourtous.com/decryptages/finance-perso/epargne-et-placement/psychologie-et-finance/" TargetMode="External"/><Relationship Id="rIdaeulfsx4-ujtld9yd5m5y" Type="http://schemas.openxmlformats.org/officeDocument/2006/relationships/hyperlink" Target="https://www.lafinancepourtous.com/outils/bibliotheque/50-petites-experiences-en-psychologie-de-lepargnant-et-de-linvestisseur/" TargetMode="External"/><Relationship Id="rIdmf_3to_ka61wc4ho9tsdw" Type="http://schemas.openxmlformats.org/officeDocument/2006/relationships/hyperlink" Target="https://blog.yomoni.fr/biais-comportementaux/" TargetMode="External"/><Relationship Id="rIdfvwmaiba8mi3hbuc7shf9" Type="http://schemas.openxmlformats.org/officeDocument/2006/relationships/hyperlink" Target="https://www.amf-france.org/fr/espace-epargnants" TargetMode="External"/><Relationship Id="rIdwtkjpu3za-sahinn3g1-8" Type="http://schemas.openxmlformats.org/officeDocument/2006/relationships/hyperlink" Target="https://www.service-public.gouv.fr/particuliers/vosdroits/F2365"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2026-09-19T06:08:11.095Z</dcterms:created>
  <dcterms:modified xsi:type="dcterms:W3CDTF">2026-09-19T06:08:11.097Z</dcterms:modified>
</cp:coreProperties>
</file>

<file path=docProps/custom.xml><?xml version="1.0" encoding="utf-8"?>
<Properties xmlns="http://schemas.openxmlformats.org/officeDocument/2006/custom-properties" xmlns:vt="http://schemas.openxmlformats.org/officeDocument/2006/docPropsVTypes"/>
</file>