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Stoïcisme n°11 — Le stoïcisme face à l'adversité : deuil, colère, peur, échec</w:t>
      </w:r>
    </w:p>
    <w:p>
      <w:pPr>
        <w:spacing w:after="200" w:before="0"/>
        <w:jc w:val="center"/>
      </w:pPr>
      <w:r>
        <w:rPr>
          <w:rFonts w:ascii="Times New Roman" w:cs="Times New Roman" w:eastAsia="Times New Roman" w:hAnsi="Times New Roman"/>
          <w:color w:val="888888"/>
          <w:sz w:val="20"/>
          <w:szCs w:val="20"/>
        </w:rPr>
        <w:t xml:space="preserve">2026-08-20   ·   Leçon 11 / 20</w:t>
      </w:r>
    </w:p>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color w:val="1F2937"/>
          <w:sz w:val="22"/>
          <w:szCs w:val="22"/>
        </w:rPr>
        <w:t xml:space="preserve">À l'issue de cette leçon, tu seras capable de : distinguer les émotions stoïciennes selon leur nature (pathē vs eupatheiai) ; appliquer des stratégies concrètes pour traverser le deuil, désamorcer la colère, apprivoiser la peur et transformer l'échec en leçon ; et reconnaître les erreurs de jugement qui amplifient la souffrance.</w:t>
      </w:r>
    </w:p>
    <w:p>
      <w:pPr>
        <w:spacing w:after="80" w:before="80"/>
      </w:pPr>
      <w:r>
        <w:rPr>
          <w:rFonts w:ascii="Times New Roman" w:cs="Times New Roman" w:eastAsia="Times New Roman" w:hAnsi="Times New Roman"/>
          <w:b w:val="false"/>
          <w:bCs w:val="false"/>
          <w:color w:val="1F2937"/>
          <w:sz w:val="22"/>
          <w:szCs w:val="22"/>
        </w:rPr>
        <w:t xml:space="preserve">Lien avec la leçon précédente (n°10 — Le progrès moral (prokoptôn) et la figure du sage) : nous avons vu que le progrès moral (prokoptôn) est un chemin permanent, et non un état acquis. Cette leçon explore le terrain de ce chemin : les moments de crise — perte, colère, peur, échec — sont précisément les occasions où la pratique stoïcienne est mise à l'épreuve et se consolide.</w:t>
      </w:r>
    </w:p>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Théorie (20 %) — Le stoïcisme face aux émotions difficiles</w:t>
      </w:r>
    </w:p>
    <w:p>
      <w:pPr>
        <w:pStyle w:val="Heading3"/>
        <w:spacing w:after="120" w:before="240"/>
      </w:pPr>
      <w:r>
        <w:rPr>
          <w:rFonts w:ascii="Times New Roman" w:cs="Times New Roman" w:eastAsia="Times New Roman" w:hAnsi="Times New Roman"/>
          <w:b/>
          <w:bCs/>
          <w:color w:val="1F2937"/>
          <w:sz w:val="26"/>
          <w:szCs w:val="26"/>
        </w:rPr>
        <w:t xml:space="preserve">1. Pathē et eupatheiai : la carte stoïcienne des émotions</w:t>
      </w:r>
    </w:p>
    <w:p>
      <w:pPr>
        <w:spacing w:after="80" w:before="80"/>
      </w:pPr>
      <w:r>
        <w:rPr>
          <w:rFonts w:ascii="Times New Roman" w:cs="Times New Roman" w:eastAsia="Times New Roman" w:hAnsi="Times New Roman"/>
          <w:b w:val="false"/>
          <w:bCs w:val="false"/>
          <w:color w:val="1F2937"/>
          <w:sz w:val="22"/>
          <w:szCs w:val="22"/>
        </w:rPr>
        <w:t xml:space="preserve">Les stoïciens distinguent deux catégories d'états émotionnels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pathē (passions irrationnelles) : mouvements de l'âme fondés sur des jugements erronés — croire que quelque chose d'extérieur est un véritable bien ou un véritable mal.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eupatheiai (bonnes émotions) : états que le sage peut éprouver car ils reposent sur des jugements corrects — joie (chara), souhait raisonnable (boulêsis), prudence (eulabeia).</w:t>
      </w:r>
    </w:p>
    <w:p>
      <w:pPr>
        <w:spacing w:after="80" w:before="80"/>
      </w:pPr>
      <w:r>
        <w:rPr>
          <w:rFonts w:ascii="Times New Roman" w:cs="Times New Roman" w:eastAsia="Times New Roman" w:hAnsi="Times New Roman"/>
          <w:b w:val="false"/>
          <w:bCs w:val="false"/>
          <w:color w:val="1F2937"/>
          <w:sz w:val="22"/>
          <w:szCs w:val="22"/>
        </w:rPr>
        <w:t xml:space="preserve">La souffrance n'est pas dans l'événement lui-même, mais dans le jugement que nous portons sur lui. C'est ce principe — fondamental depuis la leçon 1 sur la dichotomie du contrôle — qui structure toute l'approche de l'adversité.</w:t>
      </w:r>
    </w:p>
    <w:p>
      <w:pPr>
        <w:pStyle w:val="Heading3"/>
        <w:spacing w:after="120" w:before="240"/>
      </w:pPr>
      <w:r>
        <w:rPr>
          <w:rFonts w:ascii="Times New Roman" w:cs="Times New Roman" w:eastAsia="Times New Roman" w:hAnsi="Times New Roman"/>
          <w:b/>
          <w:bCs/>
          <w:color w:val="1F2937"/>
          <w:sz w:val="26"/>
          <w:szCs w:val="26"/>
        </w:rPr>
        <w:t xml:space="preserve">2. Le deuil stoïcien : ni déni, ni effondrement</w:t>
      </w:r>
    </w:p>
    <w:p>
      <w:pPr>
        <w:spacing w:after="80" w:before="80"/>
      </w:pPr>
      <w:r>
        <w:rPr>
          <w:rFonts w:ascii="Times New Roman" w:cs="Times New Roman" w:eastAsia="Times New Roman" w:hAnsi="Times New Roman"/>
          <w:b w:val="false"/>
          <w:bCs w:val="false"/>
          <w:color w:val="1F2937"/>
          <w:sz w:val="22"/>
          <w:szCs w:val="22"/>
        </w:rPr>
        <w:t xml:space="preserve">Le stoïcisme ne supprime pas la douleur de la perte. Marc Aurèle a pleuré ses enfants. Sénèque reconnaissait être affecté par l'adversité. Ce que les stoïciens refusent, c'est de laisser l'émotion « prendre le volant » au détriment de la raison.</w:t>
      </w:r>
    </w:p>
    <w:p>
      <w:pPr>
        <w:shd w:fill="F3F4F6" w:val="clear"/>
        <w:spacing w:after="140" w:before="140"/>
        <w:ind w:left="720" w:right="720"/>
      </w:pPr>
      <w:r>
        <w:rPr>
          <w:rFonts w:ascii="Times New Roman" w:cs="Times New Roman" w:eastAsia="Times New Roman" w:hAnsi="Times New Roman"/>
          <w:color w:val="1B3A6B"/>
          <w:sz w:val="22"/>
          <w:szCs w:val="22"/>
        </w:rPr>
        <w:t xml:space="preserve">« Il vaut mieux vaincre notre deuil que de le tromper. »</w:t>
      </w:r>
      <w:r>
        <w:rPr>
          <w:rFonts w:ascii="Times New Roman" w:cs="Times New Roman" w:eastAsia="Times New Roman" w:hAnsi="Times New Roman"/>
          <w:color w:val="1F2937"/>
          <w:sz w:val="20"/>
          <w:szCs w:val="20"/>
        </w:rPr>
        <w:t xml:space="preserve">  — Sénèque, Lettres à Lucilius (synthèse, non citation verbatim)</w:t>
      </w:r>
    </w:p>
    <w:p>
      <w:pPr>
        <w:spacing w:after="80" w:before="80"/>
      </w:pPr>
      <w:r>
        <w:rPr>
          <w:rFonts w:ascii="Times New Roman" w:cs="Times New Roman" w:eastAsia="Times New Roman" w:hAnsi="Times New Roman"/>
          <w:b w:val="false"/>
          <w:bCs w:val="false"/>
          <w:color w:val="1F2937"/>
          <w:sz w:val="22"/>
          <w:szCs w:val="22"/>
        </w:rPr>
        <w:t xml:space="preserve">Deux outils stoïciens face au deuil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restitution (Épictète, Enchiridion §11) : « Ne dis jamais d'une chose : je l'ai perdue, mais : je l'ai rendue. » La mort d'un proche, c'est rendre à la nature ce qu'elle avait prêté — non une perte, mais une restitution.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mémoire reconnaissante : Sénèque conseille de recourir aux souvenirs partagés, aux leçons transmises par le défunt, comme ancrage face à la douleur.</w:t>
      </w:r>
    </w:p>
    <w:p>
      <w:pPr>
        <w:pStyle w:val="Heading3"/>
        <w:spacing w:after="120" w:before="240"/>
      </w:pPr>
      <w:r>
        <w:rPr>
          <w:rFonts w:ascii="Times New Roman" w:cs="Times New Roman" w:eastAsia="Times New Roman" w:hAnsi="Times New Roman"/>
          <w:b/>
          <w:bCs/>
          <w:color w:val="1F2937"/>
          <w:sz w:val="26"/>
          <w:szCs w:val="26"/>
        </w:rPr>
        <w:t xml:space="preserve">3. La colère : une passion à désamorcer, non à nourrir</w:t>
      </w:r>
    </w:p>
    <w:p>
      <w:pPr>
        <w:spacing w:after="80" w:before="80"/>
      </w:pPr>
      <w:r>
        <w:rPr>
          <w:rFonts w:ascii="Times New Roman" w:cs="Times New Roman" w:eastAsia="Times New Roman" w:hAnsi="Times New Roman"/>
          <w:b w:val="false"/>
          <w:bCs w:val="false"/>
          <w:color w:val="1F2937"/>
          <w:sz w:val="22"/>
          <w:szCs w:val="22"/>
        </w:rPr>
        <w:t xml:space="preserve">Sénèque lui consacre son traité De la colère (De Ira), le texte anti-colère le plus systématique de l'Antiquité. Sa thèse centrale : la colère est toujours une erreur de jugement — elle naît de l'opinion que nous avons été lésés de manière injuste et significative. Or, ce qui nous blesse provient souvent de la faiblesse ou de l'ignorance de l'autre, non d'une malveillance ciblée.</w:t>
      </w:r>
    </w:p>
    <w:p>
      <w:pPr>
        <w:shd w:fill="F3F4F6" w:val="clear"/>
        <w:spacing w:after="140" w:before="140"/>
        <w:ind w:left="720" w:right="720"/>
      </w:pPr>
      <w:r>
        <w:rPr>
          <w:rFonts w:ascii="Times New Roman" w:cs="Times New Roman" w:eastAsia="Times New Roman" w:hAnsi="Times New Roman"/>
          <w:color w:val="1B3A6B"/>
          <w:sz w:val="22"/>
          <w:szCs w:val="22"/>
        </w:rPr>
        <w:t xml:space="preserve">« C'est ton propre jugement qui t'irrite. »</w:t>
      </w:r>
      <w:r>
        <w:rPr>
          <w:rFonts w:ascii="Times New Roman" w:cs="Times New Roman" w:eastAsia="Times New Roman" w:hAnsi="Times New Roman"/>
          <w:color w:val="1F2937"/>
          <w:sz w:val="20"/>
          <w:szCs w:val="20"/>
        </w:rPr>
        <w:t xml:space="preserve">  — Épictète, Enchiridion §20 (synthèse)</w:t>
      </w:r>
    </w:p>
    <w:p>
      <w:pPr>
        <w:spacing w:after="80" w:before="80"/>
      </w:pPr>
      <w:r>
        <w:rPr>
          <w:rFonts w:ascii="Times New Roman" w:cs="Times New Roman" w:eastAsia="Times New Roman" w:hAnsi="Times New Roman"/>
          <w:b w:val="false"/>
          <w:bCs w:val="false"/>
          <w:color w:val="1F2937"/>
          <w:sz w:val="22"/>
          <w:szCs w:val="22"/>
        </w:rPr>
        <w:t xml:space="preserve">Épictète ajoute (§42) : celui qui nous nuit agit selon sa propre vision du monde. Comprendre cela favorise la clémence plutôt que la réaction.</w:t>
      </w:r>
    </w:p>
    <w:p>
      <w:pPr>
        <w:pStyle w:val="Heading3"/>
        <w:spacing w:after="120" w:before="240"/>
      </w:pPr>
      <w:r>
        <w:rPr>
          <w:rFonts w:ascii="Times New Roman" w:cs="Times New Roman" w:eastAsia="Times New Roman" w:hAnsi="Times New Roman"/>
          <w:b/>
          <w:bCs/>
          <w:color w:val="1F2937"/>
          <w:sz w:val="26"/>
          <w:szCs w:val="26"/>
        </w:rPr>
        <w:t xml:space="preserve">4. La peur : une anticipation sur un indifférent</w:t>
      </w:r>
    </w:p>
    <w:p>
      <w:pPr>
        <w:spacing w:after="80" w:before="80"/>
      </w:pPr>
      <w:r>
        <w:rPr>
          <w:rFonts w:ascii="Times New Roman" w:cs="Times New Roman" w:eastAsia="Times New Roman" w:hAnsi="Times New Roman"/>
          <w:b w:val="false"/>
          <w:bCs w:val="false"/>
          <w:color w:val="1F2937"/>
          <w:sz w:val="22"/>
          <w:szCs w:val="22"/>
        </w:rPr>
        <w:t xml:space="preserve">La peur est définie par les stoïciens comme l'anticipation d'un mal futur attribué à un indifférent (quelque chose qui n'est pas en notre pouvoir). Elle résulte donc d'un double glissement : croire que l'événement redouté est un vrai mal, et croire qu'il est probable ou inévitable.</w:t>
      </w:r>
    </w:p>
    <w:p>
      <w:pPr>
        <w:shd w:fill="F3F4F6" w:val="clear"/>
        <w:spacing w:after="140" w:before="140"/>
        <w:ind w:left="720" w:right="720"/>
      </w:pPr>
      <w:r>
        <w:rPr>
          <w:rFonts w:ascii="Times New Roman" w:cs="Times New Roman" w:eastAsia="Times New Roman" w:hAnsi="Times New Roman"/>
          <w:color w:val="1B3A6B"/>
          <w:sz w:val="22"/>
          <w:szCs w:val="22"/>
        </w:rPr>
        <w:t xml:space="preserve">« Que la mort, l'exil et toutes les choses qui paraissent terribles soient chaque jour sous tes yeux. »</w:t>
      </w:r>
      <w:r>
        <w:rPr>
          <w:rFonts w:ascii="Times New Roman" w:cs="Times New Roman" w:eastAsia="Times New Roman" w:hAnsi="Times New Roman"/>
          <w:color w:val="1F2937"/>
          <w:sz w:val="20"/>
          <w:szCs w:val="20"/>
        </w:rPr>
        <w:t xml:space="preserve">  — Épictète, Enchiridion §21 (synthèse)</w:t>
      </w:r>
    </w:p>
    <w:p>
      <w:pPr>
        <w:spacing w:after="80" w:before="80"/>
      </w:pPr>
      <w:r>
        <w:rPr>
          <w:rFonts w:ascii="Times New Roman" w:cs="Times New Roman" w:eastAsia="Times New Roman" w:hAnsi="Times New Roman"/>
          <w:b w:val="false"/>
          <w:bCs w:val="false"/>
          <w:color w:val="1F2937"/>
          <w:sz w:val="22"/>
          <w:szCs w:val="22"/>
        </w:rPr>
        <w:t xml:space="preserve">La premeditatio malorum — anticipation régulière des difficultés — n'est pas du pessimisme : c'est un entraînement qui rend les chocs moins dévastateurs en remplaçant la surprise émotionnelle par une réponse préparée.</w:t>
      </w:r>
    </w:p>
    <w:p>
      <w:pPr>
        <w:pStyle w:val="Heading3"/>
        <w:spacing w:after="120" w:before="240"/>
      </w:pPr>
      <w:r>
        <w:rPr>
          <w:rFonts w:ascii="Times New Roman" w:cs="Times New Roman" w:eastAsia="Times New Roman" w:hAnsi="Times New Roman"/>
          <w:b/>
          <w:bCs/>
          <w:color w:val="1F2937"/>
          <w:sz w:val="26"/>
          <w:szCs w:val="26"/>
        </w:rPr>
        <w:t xml:space="preserve">5. L'échec : un obstacle transformé en voie</w:t>
      </w:r>
    </w:p>
    <w:p>
      <w:pPr>
        <w:spacing w:after="80" w:before="80"/>
      </w:pPr>
      <w:r>
        <w:rPr>
          <w:rFonts w:ascii="Times New Roman" w:cs="Times New Roman" w:eastAsia="Times New Roman" w:hAnsi="Times New Roman"/>
          <w:b w:val="false"/>
          <w:bCs w:val="false"/>
          <w:color w:val="1F2937"/>
          <w:sz w:val="22"/>
          <w:szCs w:val="22"/>
        </w:rPr>
        <w:t xml:space="preserve">Marc Aurèle formule ce principe dans ses Méditations (V, 20) — principe repris par Ryan Holiday sous le nom d'« obstacle is the way » :</w:t>
      </w:r>
    </w:p>
    <w:p>
      <w:pPr>
        <w:shd w:fill="F3F4F6" w:val="clear"/>
        <w:spacing w:after="140" w:before="140"/>
        <w:ind w:left="720" w:right="720"/>
      </w:pPr>
      <w:r>
        <w:rPr>
          <w:rFonts w:ascii="Times New Roman" w:cs="Times New Roman" w:eastAsia="Times New Roman" w:hAnsi="Times New Roman"/>
          <w:color w:val="1B3A6B"/>
          <w:sz w:val="22"/>
          <w:szCs w:val="22"/>
        </w:rPr>
        <w:t xml:space="preserve">« L'obstacle à l'action fait avancer l'action. Ce qui se dresse en travers du chemin devient le chemin. »</w:t>
      </w:r>
      <w:r>
        <w:rPr>
          <w:rFonts w:ascii="Times New Roman" w:cs="Times New Roman" w:eastAsia="Times New Roman" w:hAnsi="Times New Roman"/>
          <w:color w:val="1F2937"/>
          <w:sz w:val="20"/>
          <w:szCs w:val="20"/>
        </w:rPr>
        <w:t xml:space="preserve">  — Marc Aurèle, Méditations, V, 20 (synthèse, non citation verbatim)</w:t>
      </w:r>
    </w:p>
    <w:p>
      <w:pPr>
        <w:spacing w:after="80" w:before="80"/>
      </w:pPr>
      <w:r>
        <w:rPr>
          <w:rFonts w:ascii="Times New Roman" w:cs="Times New Roman" w:eastAsia="Times New Roman" w:hAnsi="Times New Roman"/>
          <w:b w:val="false"/>
          <w:bCs w:val="false"/>
          <w:color w:val="1F2937"/>
          <w:sz w:val="22"/>
          <w:szCs w:val="22"/>
        </w:rPr>
        <w:t xml:space="preserve">L'échec n'est pas un jugement sur notre valeur : c'est une information sur ce qui doit être ajusté. La vertu — nos intentions et nos efforts — reste intacte même quand le résultat échoue.</w:t>
      </w:r>
    </w:p>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Pratique (80 %) — Trois exercices d'apprentissage actif</w:t>
      </w:r>
    </w:p>
    <w:p>
      <w:pPr>
        <w:pStyle w:val="Heading3"/>
        <w:spacing w:after="120" w:before="240"/>
      </w:pPr>
      <w:r>
        <w:rPr>
          <w:rFonts w:ascii="Times New Roman" w:cs="Times New Roman" w:eastAsia="Times New Roman" w:hAnsi="Times New Roman"/>
          <w:b/>
          <w:bCs/>
          <w:color w:val="1F2937"/>
          <w:sz w:val="26"/>
          <w:szCs w:val="26"/>
        </w:rPr>
        <w:t xml:space="preserve">Exercice 1 — Anatomie d'une émotion difficile (compréhension active)</w:t>
      </w:r>
    </w:p>
    <w:p>
      <w:pPr>
        <w:spacing w:after="80" w:before="80"/>
      </w:pPr>
      <w:r>
        <w:rPr>
          <w:rFonts w:ascii="Times New Roman" w:cs="Times New Roman" w:eastAsia="Times New Roman" w:hAnsi="Times New Roman"/>
          <w:b w:val="false"/>
          <w:bCs w:val="false"/>
          <w:color w:val="1F2937"/>
          <w:sz w:val="22"/>
          <w:szCs w:val="22"/>
        </w:rPr>
        <w:t xml:space="preserve">Durée estimée : 20-25 min. Objectif : apprendre à décomposer une émotion perturbatrice selon la méthode stoïcienne.</w:t>
      </w:r>
    </w:p>
    <w:p>
      <w:pPr>
        <w:spacing w:after="80" w:before="80"/>
      </w:pPr>
      <w:r>
        <w:rPr>
          <w:rFonts w:ascii="Times New Roman" w:cs="Times New Roman" w:eastAsia="Times New Roman" w:hAnsi="Times New Roman"/>
          <w:b/>
          <w:bCs/>
          <w:color w:val="1F2937"/>
          <w:sz w:val="22"/>
          <w:szCs w:val="22"/>
        </w:rPr>
        <w:t xml:space="preserve">Protocole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une émotion difficile que tu as vécue récemment (colère, peur ou tristesse liée à une perte ou un échec professionnel).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Décris l'événement déclencheur en une phrase factuelle, sans interprétation.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le jugement que tu as formé sur cet événement : qu'as-tu cru ? Que cela était injuste ? Que tu allais perdre quelque chose d'essentiel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Classe ce jugement : s'agit-il d'un indifférent (hors de ton contrôle) auquel tu as attribué la valeur d'un vrai mal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Formule le jugement corrigé : que dirait un prokoptôn face à la même situation ?</w:t>
      </w:r>
    </w:p>
    <w:p>
      <w:pPr>
        <w:spacing w:after="80" w:before="80"/>
      </w:pPr>
      <w:r>
        <w:rPr>
          <w:rFonts w:ascii="Times New Roman" w:cs="Times New Roman" w:eastAsia="Times New Roman" w:hAnsi="Times New Roman"/>
          <w:b/>
          <w:bCs/>
          <w:color w:val="1F2937"/>
          <w:sz w:val="22"/>
          <w:szCs w:val="22"/>
        </w:rPr>
        <w:t xml:space="preserve">Exemple guidé :</w:t>
      </w:r>
    </w:p>
    <w:p>
      <w:pPr>
        <w:spacing w:after="80" w:before="80"/>
      </w:pPr>
      <w:r>
        <w:rPr>
          <w:rFonts w:ascii="Times New Roman" w:cs="Times New Roman" w:eastAsia="Times New Roman" w:hAnsi="Times New Roman"/>
          <w:b w:val="false"/>
          <w:bCs w:val="false"/>
          <w:color w:val="1F2937"/>
          <w:sz w:val="22"/>
          <w:szCs w:val="22"/>
        </w:rPr>
        <w:t xml:space="preserve">Situation : un collègue t'a contredit en réunion, tu t'es senti en colère.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Jugement initial : « Il a voulu me diminuer devant tout le monde » → attribution d'intention malveillante.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Jugement stoïcien révisé : « Il a une lecture différente de la situation. Son comportement dit quelque chose de lui, pas de ma valeur. Ce que je ressens résulte de mon interprétation, pas de l'événement.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Conclusion : la colère était une réaction à mon propre jugement, non à un fait objectif.</w:t>
      </w:r>
    </w:p>
    <w:p>
      <w:pPr>
        <w:spacing w:after="80" w:before="80"/>
      </w:pPr>
      <w:r>
        <w:rPr>
          <w:rFonts w:ascii="Times New Roman" w:cs="Times New Roman" w:eastAsia="Times New Roman" w:hAnsi="Times New Roman"/>
          <w:b/>
          <w:bCs/>
          <w:color w:val="1F2937"/>
          <w:sz w:val="22"/>
          <w:szCs w:val="22"/>
        </w:rPr>
        <w:t xml:space="preserve">À ton tour — réponds par écrit dans ton journal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EEF2F7" w:val="clear"/>
            <w:tcMar>
              <w:top w:type="dxa" w:w="100"/>
              <w:left w:type="dxa" w:w="150"/>
              <w:bottom w:type="dxa" w:w="100"/>
              <w:right w:type="dxa" w:w="150"/>
            </w:tcMar>
          </w:tcPr>
          <w:p>
            <w:pPr>
              <w:spacing w:after="60" w:before="60"/>
            </w:pPr>
            <w:r>
              <w:rPr>
                <w:rFonts w:ascii="Times New Roman" w:cs="Times New Roman" w:eastAsia="Times New Roman" w:hAnsi="Times New Roman"/>
                <w:color w:val="1F2937"/>
                <w:sz w:val="22"/>
                <w:szCs w:val="22"/>
              </w:rPr>
              <w:t xml:space="preserve">1. Quelle était la situation ?</w:t>
            </w:r>
          </w:p>
          <w:p>
            <w:pPr>
              <w:spacing w:after="60" w:before="60"/>
            </w:pPr>
            <w:r>
              <w:rPr>
                <w:rFonts w:ascii="Times New Roman" w:cs="Times New Roman" w:eastAsia="Times New Roman" w:hAnsi="Times New Roman"/>
                <w:color w:val="1F2937"/>
                <w:sz w:val="22"/>
                <w:szCs w:val="22"/>
              </w:rPr>
              <w:t xml:space="preserve">2. Quel jugement automatique s'est déclenché ?</w:t>
            </w:r>
          </w:p>
          <w:p>
            <w:pPr>
              <w:spacing w:after="60" w:before="60"/>
            </w:pPr>
            <w:r>
              <w:rPr>
                <w:rFonts w:ascii="Times New Roman" w:cs="Times New Roman" w:eastAsia="Times New Roman" w:hAnsi="Times New Roman"/>
                <w:color w:val="1F2937"/>
                <w:sz w:val="22"/>
                <w:szCs w:val="22"/>
              </w:rPr>
              <w:t xml:space="preserve">3. L'objet de ce jugement est-il dans mon contrôle ?</w:t>
            </w:r>
          </w:p>
          <w:p>
            <w:pPr>
              <w:spacing w:after="60" w:before="60"/>
            </w:pPr>
            <w:r>
              <w:rPr>
                <w:rFonts w:ascii="Times New Roman" w:cs="Times New Roman" w:eastAsia="Times New Roman" w:hAnsi="Times New Roman"/>
                <w:color w:val="1F2937"/>
                <w:sz w:val="22"/>
                <w:szCs w:val="22"/>
              </w:rPr>
              <w:t xml:space="preserve">4. Comment un prokoptôn reformulerait-il la situation ?</w:t>
            </w:r>
          </w:p>
          <w:p>
            <w:pPr>
              <w:spacing w:after="60" w:before="60"/>
            </w:pPr>
            <w:r>
              <w:rPr>
                <w:rFonts w:ascii="Times New Roman" w:cs="Times New Roman" w:eastAsia="Times New Roman" w:hAnsi="Times New Roman"/>
                <w:color w:val="1F2937"/>
                <w:sz w:val="22"/>
                <w:szCs w:val="22"/>
              </w:rPr>
              <w:t xml:space="preserve">5. Qu'est-ce que cet exercice modifie dans ma perception de l'émotion ?</w:t>
            </w:r>
          </w:p>
        </w:tc>
      </w:tr>
    </w:tbl>
    <w:p>
      <w:pPr>
        <w:pStyle w:val="Heading3"/>
        <w:spacing w:after="120" w:before="240"/>
      </w:pPr>
      <w:r>
        <w:rPr>
          <w:rFonts w:ascii="Times New Roman" w:cs="Times New Roman" w:eastAsia="Times New Roman" w:hAnsi="Times New Roman"/>
          <w:b/>
          <w:bCs/>
          <w:color w:val="1F2937"/>
          <w:sz w:val="26"/>
          <w:szCs w:val="26"/>
        </w:rPr>
        <w:t xml:space="preserve">Exercice 2 — Premeditatio malorum : la répétition mentale (ancrage)</w:t>
      </w:r>
    </w:p>
    <w:p>
      <w:pPr>
        <w:spacing w:after="80" w:before="80"/>
      </w:pPr>
      <w:r>
        <w:rPr>
          <w:rFonts w:ascii="Times New Roman" w:cs="Times New Roman" w:eastAsia="Times New Roman" w:hAnsi="Times New Roman"/>
          <w:b w:val="false"/>
          <w:bCs w:val="false"/>
          <w:color w:val="1F2937"/>
          <w:sz w:val="22"/>
          <w:szCs w:val="22"/>
        </w:rPr>
        <w:t xml:space="preserve">Durée estimée : 15 min, à faire le matin pendant une semaine. Objectif : réduire l'emprise de la peur anticipatrice et de la surprise émotionnelle.</w:t>
      </w:r>
    </w:p>
    <w:p>
      <w:pPr>
        <w:spacing w:after="80" w:before="80"/>
      </w:pPr>
      <w:r>
        <w:rPr>
          <w:rFonts w:ascii="Times New Roman" w:cs="Times New Roman" w:eastAsia="Times New Roman" w:hAnsi="Times New Roman"/>
          <w:b/>
          <w:bCs/>
          <w:color w:val="1F2937"/>
          <w:sz w:val="22"/>
          <w:szCs w:val="22"/>
        </w:rPr>
        <w:t xml:space="preserve">Protocole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matin, avant de commencer ta journée, identifie une difficulté que tu pourrais rencontrer dans la journée (conflit, critique, imprévu, mauvaise nouvelle).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Imagine-la avec un niveau de détail suffisant pour ressentir une légère tension.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Pose-toi trois questions stoïciennes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Est-ce un indifférent, ou un vrai mal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Quelle vertu puis-je mobiliser si cela arrive (justice, courage, tempérance, prudence)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Si cela arrive, quelle sera l'action juste à mon niveau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Termine par une note de gratitude : trois choses présentes aujourd'hui que tu pourrais perdre et qui méritent d'être appréciées maintenant.</w:t>
      </w:r>
    </w:p>
    <w:p>
      <w:pPr>
        <w:spacing w:after="80" w:before="80"/>
      </w:pPr>
      <w:r>
        <w:rPr>
          <w:rFonts w:ascii="Times New Roman" w:cs="Times New Roman" w:eastAsia="Times New Roman" w:hAnsi="Times New Roman"/>
          <w:b/>
          <w:bCs/>
          <w:color w:val="1F2937"/>
          <w:sz w:val="22"/>
          <w:szCs w:val="22"/>
        </w:rPr>
        <w:t xml:space="preserve">Journal stoïcien — tableau hebdomadaire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Jour</w:t>
            </w:r>
          </w:p>
        </w:tc>
        <w:tc>
          <w:tcPr>
            <w:shd w:fill="1B3A6B" w:val="clear"/>
          </w:tcPr>
          <w:p>
            <w:r>
              <w:rPr>
                <w:rFonts w:ascii="Times New Roman" w:cs="Times New Roman" w:eastAsia="Times New Roman" w:hAnsi="Times New Roman"/>
                <w:b/>
                <w:bCs/>
                <w:color w:val="FFFFFF"/>
                <w:sz w:val="20"/>
                <w:szCs w:val="20"/>
              </w:rPr>
              <w:t xml:space="preserve">Difficulté anticipée</w:t>
            </w:r>
          </w:p>
        </w:tc>
        <w:tc>
          <w:tcPr>
            <w:shd w:fill="1B3A6B" w:val="clear"/>
          </w:tcPr>
          <w:p>
            <w:r>
              <w:rPr>
                <w:rFonts w:ascii="Times New Roman" w:cs="Times New Roman" w:eastAsia="Times New Roman" w:hAnsi="Times New Roman"/>
                <w:b/>
                <w:bCs/>
                <w:color w:val="FFFFFF"/>
                <w:sz w:val="20"/>
                <w:szCs w:val="20"/>
              </w:rPr>
              <w:t xml:space="preserve">Indifférent ?</w:t>
            </w:r>
          </w:p>
        </w:tc>
        <w:tc>
          <w:tcPr>
            <w:shd w:fill="1B3A6B" w:val="clear"/>
          </w:tcPr>
          <w:p>
            <w:r>
              <w:rPr>
                <w:rFonts w:ascii="Times New Roman" w:cs="Times New Roman" w:eastAsia="Times New Roman" w:hAnsi="Times New Roman"/>
                <w:b/>
                <w:bCs/>
                <w:color w:val="FFFFFF"/>
                <w:sz w:val="20"/>
                <w:szCs w:val="20"/>
              </w:rPr>
              <w:t xml:space="preserve">Vertu mobilisable</w:t>
            </w:r>
          </w:p>
        </w:tc>
        <w:tc>
          <w:tcPr>
            <w:shd w:fill="1B3A6B" w:val="clear"/>
          </w:tcPr>
          <w:p>
            <w:r>
              <w:rPr>
                <w:rFonts w:ascii="Times New Roman" w:cs="Times New Roman" w:eastAsia="Times New Roman" w:hAnsi="Times New Roman"/>
                <w:b/>
                <w:bCs/>
                <w:color w:val="FFFFFF"/>
                <w:sz w:val="20"/>
                <w:szCs w:val="20"/>
              </w:rPr>
              <w:t xml:space="preserve">Gratitude du matin</w:t>
            </w:r>
          </w:p>
        </w:tc>
      </w:tr>
      <w:tr>
        <w:tc>
          <w:tcPr>
            <w:shd w:fill="FFFFFF" w:val="clear"/>
          </w:tcPr>
          <w:p>
            <w:r>
              <w:rPr>
                <w:rFonts w:ascii="Times New Roman" w:cs="Times New Roman" w:eastAsia="Times New Roman" w:hAnsi="Times New Roman"/>
                <w:sz w:val="20"/>
                <w:szCs w:val="20"/>
              </w:rPr>
              <w:t xml:space="preserve">Lundi</w:t>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r>
      <w:tr>
        <w:tc>
          <w:tcPr>
            <w:shd w:fill="EEF2F7" w:val="clear"/>
          </w:tcPr>
          <w:p>
            <w:r>
              <w:rPr>
                <w:rFonts w:ascii="Times New Roman" w:cs="Times New Roman" w:eastAsia="Times New Roman" w:hAnsi="Times New Roman"/>
                <w:sz w:val="20"/>
                <w:szCs w:val="20"/>
              </w:rPr>
              <w:t xml:space="preserve">Mardi</w:t>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r>
      <w:tr>
        <w:tc>
          <w:tcPr>
            <w:shd w:fill="FFFFFF" w:val="clear"/>
          </w:tcPr>
          <w:p>
            <w:r>
              <w:rPr>
                <w:rFonts w:ascii="Times New Roman" w:cs="Times New Roman" w:eastAsia="Times New Roman" w:hAnsi="Times New Roman"/>
                <w:sz w:val="20"/>
                <w:szCs w:val="20"/>
              </w:rPr>
              <w:t xml:space="preserve">Mercredi</w:t>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r>
      <w:tr>
        <w:tc>
          <w:tcPr>
            <w:shd w:fill="EEF2F7" w:val="clear"/>
          </w:tcPr>
          <w:p>
            <w:r>
              <w:rPr>
                <w:rFonts w:ascii="Times New Roman" w:cs="Times New Roman" w:eastAsia="Times New Roman" w:hAnsi="Times New Roman"/>
                <w:sz w:val="20"/>
                <w:szCs w:val="20"/>
              </w:rPr>
              <w:t xml:space="preserve">Jeudi</w:t>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r>
      <w:tr>
        <w:tc>
          <w:tcPr>
            <w:shd w:fill="FFFFFF" w:val="clear"/>
          </w:tcPr>
          <w:p>
            <w:r>
              <w:rPr>
                <w:rFonts w:ascii="Times New Roman" w:cs="Times New Roman" w:eastAsia="Times New Roman" w:hAnsi="Times New Roman"/>
                <w:sz w:val="20"/>
                <w:szCs w:val="20"/>
              </w:rPr>
              <w:t xml:space="preserve">Vendredi</w:t>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r>
    </w:tbl>
    <w:p>
      <w:pPr>
        <w:pStyle w:val="Heading3"/>
        <w:spacing w:after="120" w:before="240"/>
      </w:pPr>
      <w:r>
        <w:rPr>
          <w:rFonts w:ascii="Times New Roman" w:cs="Times New Roman" w:eastAsia="Times New Roman" w:hAnsi="Times New Roman"/>
          <w:b/>
          <w:bCs/>
          <w:color w:val="1F2937"/>
          <w:sz w:val="26"/>
          <w:szCs w:val="26"/>
        </w:rPr>
        <w:t xml:space="preserve">Exercice 3 — Lettre à soi-même depuis l'adversité (journal stoïcien)</w:t>
      </w:r>
    </w:p>
    <w:p>
      <w:pPr>
        <w:spacing w:after="80" w:before="80"/>
      </w:pPr>
      <w:r>
        <w:rPr>
          <w:rFonts w:ascii="Times New Roman" w:cs="Times New Roman" w:eastAsia="Times New Roman" w:hAnsi="Times New Roman"/>
          <w:b w:val="false"/>
          <w:bCs w:val="false"/>
          <w:color w:val="1F2937"/>
          <w:sz w:val="22"/>
          <w:szCs w:val="22"/>
        </w:rPr>
        <w:t xml:space="preserve">Durée estimée : 30-40 min. Objectif : traverser une expérience difficile passée (deuil, peur, échec) à l'aide de la réflexion stoïcienne, et en extraire un enseignement durable.</w:t>
      </w:r>
    </w:p>
    <w:p>
      <w:pPr>
        <w:spacing w:after="80" w:before="80"/>
      </w:pPr>
      <w:r>
        <w:rPr>
          <w:rFonts w:ascii="Times New Roman" w:cs="Times New Roman" w:eastAsia="Times New Roman" w:hAnsi="Times New Roman"/>
          <w:b/>
          <w:bCs/>
          <w:color w:val="1F2937"/>
          <w:sz w:val="22"/>
          <w:szCs w:val="22"/>
        </w:rPr>
        <w:t xml:space="preserve">Protocole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une situation d'adversité significative que tu as traversée (perte, conflit long, échec professionnel, deuil).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Écris une lettre à toi-même au moment où cette épreuve se passait, comme si tu avais alors les outils stoïciens que tu as acquis dans ce parcours.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lettre doit inclure au moins trois des éléments suivants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La distinction entre ce qui dépendait de toi et ce qui ne dépendait pas de toi dans cette situation.</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Le jugement automatique que tu avais formé et sa révision stoïcienne.</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Une formulation de restitution (plutôt que de perte) si la situation impliquait un deuil.</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La vertu que tu aurais pu davantage mobiliser.</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Ce que cet obstacle t'a finalement appris ou ouvert.</w:t>
      </w:r>
    </w:p>
    <w:p>
      <w:pPr>
        <w:spacing w:after="80" w:before="80"/>
      </w:pPr>
      <w:r>
        <w:rPr>
          <w:rFonts w:ascii="Times New Roman" w:cs="Times New Roman" w:eastAsia="Times New Roman" w:hAnsi="Times New Roman"/>
          <w:b/>
          <w:bCs/>
          <w:color w:val="1F2937"/>
          <w:sz w:val="22"/>
          <w:szCs w:val="22"/>
        </w:rPr>
        <w:t xml:space="preserve">Questions d'ancrage après la lettre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EEF2F7" w:val="clear"/>
            <w:tcMar>
              <w:top w:type="dxa" w:w="100"/>
              <w:left w:type="dxa" w:w="150"/>
              <w:bottom w:type="dxa" w:w="100"/>
              <w:right w:type="dxa" w:w="150"/>
            </w:tcMar>
          </w:tcPr>
          <w:p>
            <w:pPr>
              <w:spacing w:after="60" w:before="60"/>
            </w:pPr>
            <w:r>
              <w:rPr>
                <w:rFonts w:ascii="Times New Roman" w:cs="Times New Roman" w:eastAsia="Times New Roman" w:hAnsi="Times New Roman"/>
                <w:color w:val="1F2937"/>
                <w:sz w:val="22"/>
                <w:szCs w:val="22"/>
              </w:rPr>
              <w:t xml:space="preserve">1. Qu'est-ce qui me semblait insurmontable et qui ne l'était pas ?</w:t>
            </w:r>
          </w:p>
          <w:p>
            <w:pPr>
              <w:spacing w:after="60" w:before="60"/>
            </w:pPr>
            <w:r>
              <w:rPr>
                <w:rFonts w:ascii="Times New Roman" w:cs="Times New Roman" w:eastAsia="Times New Roman" w:hAnsi="Times New Roman"/>
                <w:color w:val="1F2937"/>
                <w:sz w:val="22"/>
                <w:szCs w:val="22"/>
              </w:rPr>
              <w:t xml:space="preserve">2. Quel jugement amplifié aggravait la situation ?</w:t>
            </w:r>
          </w:p>
          <w:p>
            <w:pPr>
              <w:spacing w:after="60" w:before="60"/>
            </w:pPr>
            <w:r>
              <w:rPr>
                <w:rFonts w:ascii="Times New Roman" w:cs="Times New Roman" w:eastAsia="Times New Roman" w:hAnsi="Times New Roman"/>
                <w:color w:val="1F2937"/>
                <w:sz w:val="22"/>
                <w:szCs w:val="22"/>
              </w:rPr>
              <w:t xml:space="preserve">3. Qu'ai-je appris de cette épreuve que je n'aurais pas appris autrement ?</w:t>
            </w:r>
          </w:p>
          <w:p>
            <w:pPr>
              <w:spacing w:after="60" w:before="60"/>
            </w:pPr>
            <w:r>
              <w:rPr>
                <w:rFonts w:ascii="Times New Roman" w:cs="Times New Roman" w:eastAsia="Times New Roman" w:hAnsi="Times New Roman"/>
                <w:color w:val="1F2937"/>
                <w:sz w:val="22"/>
                <w:szCs w:val="22"/>
              </w:rPr>
              <w:t xml:space="preserve">4. Comment cette expérience a-t-elle contribué à mon progrès moral (prokoptôn) ?</w:t>
            </w:r>
          </w:p>
        </w:tc>
      </w:tr>
    </w:tbl>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Challenge — Synthèse : cartographie de ton rapport à l'adversité</w:t>
      </w:r>
    </w:p>
    <w:p>
      <w:pPr>
        <w:spacing w:after="80" w:before="80"/>
      </w:pPr>
      <w:r>
        <w:rPr>
          <w:rFonts w:ascii="Times New Roman" w:cs="Times New Roman" w:eastAsia="Times New Roman" w:hAnsi="Times New Roman"/>
          <w:b w:val="false"/>
          <w:bCs w:val="false"/>
          <w:color w:val="1F2937"/>
          <w:sz w:val="22"/>
          <w:szCs w:val="22"/>
        </w:rPr>
        <w:t xml:space="preserve">Durée estimée : 45-60 min. Ce challenge mobilise l'ensemble de la leçon.</w:t>
      </w:r>
    </w:p>
    <w:p>
      <w:pPr>
        <w:spacing w:after="80" w:before="80"/>
      </w:pPr>
      <w:r>
        <w:rPr>
          <w:rFonts w:ascii="Times New Roman" w:cs="Times New Roman" w:eastAsia="Times New Roman" w:hAnsi="Times New Roman"/>
          <w:b w:val="false"/>
          <w:bCs w:val="false"/>
          <w:color w:val="1F2937"/>
          <w:sz w:val="22"/>
          <w:szCs w:val="22"/>
        </w:rPr>
        <w:t xml:space="preserve">Construis une cartographie personnelle de ton rapport aux quatre formes d'adversité étudiées. Pour chacune, réponds honnêtement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Adversité</w:t>
            </w:r>
          </w:p>
        </w:tc>
        <w:tc>
          <w:tcPr>
            <w:shd w:fill="1B3A6B" w:val="clear"/>
          </w:tcPr>
          <w:p>
            <w:r>
              <w:rPr>
                <w:rFonts w:ascii="Times New Roman" w:cs="Times New Roman" w:eastAsia="Times New Roman" w:hAnsi="Times New Roman"/>
                <w:b/>
                <w:bCs/>
                <w:color w:val="FFFFFF"/>
                <w:sz w:val="20"/>
                <w:szCs w:val="20"/>
              </w:rPr>
              <w:t xml:space="preserve">Mon pattern habituel</w:t>
            </w:r>
          </w:p>
        </w:tc>
        <w:tc>
          <w:tcPr>
            <w:shd w:fill="1B3A6B" w:val="clear"/>
          </w:tcPr>
          <w:p>
            <w:r>
              <w:rPr>
                <w:rFonts w:ascii="Times New Roman" w:cs="Times New Roman" w:eastAsia="Times New Roman" w:hAnsi="Times New Roman"/>
                <w:b/>
                <w:bCs/>
                <w:color w:val="FFFFFF"/>
                <w:sz w:val="20"/>
                <w:szCs w:val="20"/>
              </w:rPr>
              <w:t xml:space="preserve">Jugement automatique identifié</w:t>
            </w:r>
          </w:p>
        </w:tc>
        <w:tc>
          <w:tcPr>
            <w:shd w:fill="1B3A6B" w:val="clear"/>
          </w:tcPr>
          <w:p>
            <w:r>
              <w:rPr>
                <w:rFonts w:ascii="Times New Roman" w:cs="Times New Roman" w:eastAsia="Times New Roman" w:hAnsi="Times New Roman"/>
                <w:b/>
                <w:bCs/>
                <w:color w:val="FFFFFF"/>
                <w:sz w:val="20"/>
                <w:szCs w:val="20"/>
              </w:rPr>
              <w:t xml:space="preserve">Outil stoïcien à mobiliser</w:t>
            </w:r>
          </w:p>
        </w:tc>
      </w:tr>
      <w:tr>
        <w:tc>
          <w:tcPr>
            <w:shd w:fill="FFFFFF" w:val="clear"/>
          </w:tcPr>
          <w:p>
            <w:r>
              <w:rPr>
                <w:rFonts w:ascii="Times New Roman" w:cs="Times New Roman" w:eastAsia="Times New Roman" w:hAnsi="Times New Roman"/>
                <w:sz w:val="20"/>
                <w:szCs w:val="20"/>
              </w:rPr>
              <w:t xml:space="preserve">Deuil / Perte</w:t>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r>
      <w:tr>
        <w:tc>
          <w:tcPr>
            <w:shd w:fill="EEF2F7" w:val="clear"/>
          </w:tcPr>
          <w:p>
            <w:r>
              <w:rPr>
                <w:rFonts w:ascii="Times New Roman" w:cs="Times New Roman" w:eastAsia="Times New Roman" w:hAnsi="Times New Roman"/>
                <w:sz w:val="20"/>
                <w:szCs w:val="20"/>
              </w:rPr>
              <w:t xml:space="preserve">Colère</w:t>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r>
      <w:tr>
        <w:tc>
          <w:tcPr>
            <w:shd w:fill="FFFFFF" w:val="clear"/>
          </w:tcPr>
          <w:p>
            <w:r>
              <w:rPr>
                <w:rFonts w:ascii="Times New Roman" w:cs="Times New Roman" w:eastAsia="Times New Roman" w:hAnsi="Times New Roman"/>
                <w:sz w:val="20"/>
                <w:szCs w:val="20"/>
              </w:rPr>
              <w:t xml:space="preserve">Peur / Anxiété</w:t>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c>
          <w:tcPr>
            <w:shd w:fill="FFFFFF" w:val="clear"/>
          </w:tcPr>
          <w:p>
            <w:r>
              <w:rPr>
                <w:rFonts w:ascii="Times New Roman" w:cs="Times New Roman" w:eastAsia="Times New Roman" w:hAnsi="Times New Roman"/>
                <w:sz w:val="20"/>
                <w:szCs w:val="20"/>
              </w:rPr>
              <w:t xml:space="preserve"/>
            </w:r>
          </w:p>
        </w:tc>
      </w:tr>
      <w:tr>
        <w:tc>
          <w:tcPr>
            <w:shd w:fill="EEF2F7" w:val="clear"/>
          </w:tcPr>
          <w:p>
            <w:r>
              <w:rPr>
                <w:rFonts w:ascii="Times New Roman" w:cs="Times New Roman" w:eastAsia="Times New Roman" w:hAnsi="Times New Roman"/>
                <w:sz w:val="20"/>
                <w:szCs w:val="20"/>
              </w:rPr>
              <w:t xml:space="preserve">Échec</w:t>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c>
          <w:tcPr>
            <w:shd w:fill="EEF2F7" w:val="clear"/>
          </w:tcPr>
          <w:p>
            <w:r>
              <w:rPr>
                <w:rFonts w:ascii="Times New Roman" w:cs="Times New Roman" w:eastAsia="Times New Roman" w:hAnsi="Times New Roman"/>
                <w:sz w:val="20"/>
                <w:szCs w:val="20"/>
              </w:rPr>
              <w:t xml:space="preserve"/>
            </w:r>
          </w:p>
        </w:tc>
      </w:tr>
    </w:tbl>
    <w:p>
      <w:pPr>
        <w:spacing w:after="80" w:before="80"/>
      </w:pPr>
      <w:r>
        <w:rPr>
          <w:rFonts w:ascii="Times New Roman" w:cs="Times New Roman" w:eastAsia="Times New Roman" w:hAnsi="Times New Roman"/>
          <w:b/>
          <w:bCs/>
          <w:color w:val="1F2937"/>
          <w:sz w:val="22"/>
          <w:szCs w:val="22"/>
        </w:rPr>
        <w:t xml:space="preserve">Ensuite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la forme d'adversité pour laquelle tu te sens le moins outillé. Définis une pratique stoïcienne concrète que tu vas mettre en place dans les 7 prochains jours pour y travailler.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Rédige une règle personnelle en une phrase, à la manière d'Épictète dans l'Enchiridion : « Lorsque [situation], je vais [action stoïcienne] plutôt que [réaction habituelle]. »</w:t>
      </w:r>
    </w:p>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Pont pro (optionnel)</w:t>
      </w:r>
    </w:p>
    <w:p>
      <w:pPr>
        <w:spacing w:after="80" w:before="80"/>
      </w:pPr>
      <w:r>
        <w:rPr>
          <w:rFonts w:ascii="Times New Roman" w:cs="Times New Roman" w:eastAsia="Times New Roman" w:hAnsi="Times New Roman"/>
          <w:b w:val="false"/>
          <w:bCs w:val="false"/>
          <w:color w:val="1F2937"/>
          <w:sz w:val="22"/>
          <w:szCs w:val="22"/>
        </w:rPr>
        <w:t xml:space="preserve">En tant que chef de service en ESSMS, tu es régulièrement exposé à des formes d'adversité professionnelle : annonces difficiles aux familles, conflits d'équipe, échecs de projet, incidents critiques. La pratique de l'anatomie de l'émotion (exercice 1) est directement transposable à la posture de cadre : distinguer l'événement de son interprétation, repérer le jugement automatique avant de répondre — ce sont des compétences de régulation émotionnelle au sens plein. Ce n'est pas du stoïcisme de façade, c'est de la lucidité en situation.</w:t>
      </w:r>
    </w:p>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Ressources pour approfondir (liens vérifiés)</w:t>
      </w:r>
    </w:p>
    <w:p>
      <w:pPr>
        <w:spacing w:after="80" w:before="80"/>
      </w:pPr>
      <w:hyperlink w:history="1" r:id="rIdzewfzj6euyfb8keuk7mru">
        <w:r>
          <w:rPr>
            <w:rFonts w:ascii="Times New Roman" w:cs="Times New Roman" w:eastAsia="Times New Roman" w:hAnsi="Times New Roman"/>
            <w:color w:val="1155CC"/>
            <w:sz w:val="22"/>
            <w:szCs w:val="22"/>
            <w:u w:val="single"/>
          </w:rPr>
          <w:t xml:space="preserve">Daily Stoic — A Stoic Response to Grief</w:t>
        </w:r>
      </w:hyperlink>
      <w:r>
        <w:rPr>
          <w:rFonts w:ascii="Times New Roman" w:cs="Times New Roman" w:eastAsia="Times New Roman" w:hAnsi="Times New Roman"/>
          <w:color w:val="1F2937"/>
          <w:sz w:val="22"/>
          <w:szCs w:val="22"/>
        </w:rPr>
        <w:t xml:space="preserve">  — Approche stoïcienne du deuil : Sénèque, Épictète, Marcus Aurelius</w:t>
      </w:r>
    </w:p>
    <w:p>
      <w:pPr>
        <w:spacing w:after="80" w:before="80"/>
      </w:pPr>
      <w:hyperlink w:history="1" r:id="rIdn9qfewty1waju31x9f0ng">
        <w:r>
          <w:rPr>
            <w:rFonts w:ascii="Times New Roman" w:cs="Times New Roman" w:eastAsia="Times New Roman" w:hAnsi="Times New Roman"/>
            <w:color w:val="1155CC"/>
            <w:sz w:val="22"/>
            <w:szCs w:val="22"/>
            <w:u w:val="single"/>
          </w:rPr>
          <w:t xml:space="preserve">Daily Stoic — 20 Stoic Quotes on Adversity</w:t>
        </w:r>
      </w:hyperlink>
      <w:r>
        <w:rPr>
          <w:rFonts w:ascii="Times New Roman" w:cs="Times New Roman" w:eastAsia="Times New Roman" w:hAnsi="Times New Roman"/>
          <w:color w:val="1F2937"/>
          <w:sz w:val="22"/>
          <w:szCs w:val="22"/>
        </w:rPr>
        <w:t xml:space="preserve">  — 20 citations stoïciennes sur l'adversité, sourcées et commentées</w:t>
      </w:r>
    </w:p>
    <w:p>
      <w:pPr>
        <w:spacing w:after="80" w:before="80"/>
      </w:pPr>
      <w:hyperlink w:history="1" r:id="rIdbvuvb--sm1myllqq1hrq5">
        <w:r>
          <w:rPr>
            <w:rFonts w:ascii="Times New Roman" w:cs="Times New Roman" w:eastAsia="Times New Roman" w:hAnsi="Times New Roman"/>
            <w:color w:val="1155CC"/>
            <w:sz w:val="22"/>
            <w:szCs w:val="22"/>
            <w:u w:val="single"/>
          </w:rPr>
          <w:t xml:space="preserve">The Collector — 6 Exercises to Practice Stoicism</w:t>
        </w:r>
      </w:hyperlink>
      <w:r>
        <w:rPr>
          <w:rFonts w:ascii="Times New Roman" w:cs="Times New Roman" w:eastAsia="Times New Roman" w:hAnsi="Times New Roman"/>
          <w:color w:val="1F2937"/>
          <w:sz w:val="22"/>
          <w:szCs w:val="22"/>
        </w:rPr>
        <w:t xml:space="preserve">  — Dichotomie du contrôle, premeditatio, memento mori, vue d'en haut</w:t>
      </w:r>
    </w:p>
    <w:p>
      <w:pPr>
        <w:spacing w:after="80" w:before="80"/>
      </w:pPr>
      <w:hyperlink w:history="1" r:id="rId_fgxzvcybng1nvdpwtvin">
        <w:r>
          <w:rPr>
            <w:rFonts w:ascii="Times New Roman" w:cs="Times New Roman" w:eastAsia="Times New Roman" w:hAnsi="Times New Roman"/>
            <w:color w:val="1155CC"/>
            <w:sz w:val="22"/>
            <w:szCs w:val="22"/>
            <w:u w:val="single"/>
          </w:rPr>
          <w:t xml:space="preserve">Stanford Encyclopedia of Philosophy — Stoicism</w:t>
        </w:r>
      </w:hyperlink>
      <w:r>
        <w:rPr>
          <w:rFonts w:ascii="Times New Roman" w:cs="Times New Roman" w:eastAsia="Times New Roman" w:hAnsi="Times New Roman"/>
          <w:color w:val="1F2937"/>
          <w:sz w:val="22"/>
          <w:szCs w:val="22"/>
        </w:rPr>
        <w:t xml:space="preserve">  — Section 4.7 : les passions (pathē) et leur fondement cognitif</w:t>
      </w:r>
    </w:p>
    <w:p>
      <w:pPr>
        <w:spacing w:after="80" w:before="80"/>
      </w:pPr>
      <w:hyperlink w:history="1" r:id="rIdlxtvqkqvvjhjqttqttqdn">
        <w:r>
          <w:rPr>
            <w:rFonts w:ascii="Times New Roman" w:cs="Times New Roman" w:eastAsia="Times New Roman" w:hAnsi="Times New Roman"/>
            <w:color w:val="1155CC"/>
            <w:sz w:val="22"/>
            <w:szCs w:val="22"/>
            <w:u w:val="single"/>
          </w:rPr>
          <w:t xml:space="preserve">Wikipedia — Stoicism</w:t>
        </w:r>
      </w:hyperlink>
      <w:r>
        <w:rPr>
          <w:rFonts w:ascii="Times New Roman" w:cs="Times New Roman" w:eastAsia="Times New Roman" w:hAnsi="Times New Roman"/>
          <w:color w:val="1F2937"/>
          <w:sz w:val="22"/>
          <w:szCs w:val="22"/>
        </w:rPr>
        <w:t xml:space="preserve">  — Passions, eupatheiai, éthique stoïcienne — vue d'ensemble structurée</w:t>
      </w:r>
    </w:p>
    <w:p>
      <w:pPr>
        <w:spacing w:after="80" w:before="80"/>
      </w:pPr>
      <w:hyperlink w:history="1" r:id="rIdxwv3ths0u9puqyqw1qyrj">
        <w:r>
          <w:rPr>
            <w:rFonts w:ascii="Times New Roman" w:cs="Times New Roman" w:eastAsia="Times New Roman" w:hAnsi="Times New Roman"/>
            <w:color w:val="1155CC"/>
            <w:sz w:val="22"/>
            <w:szCs w:val="22"/>
            <w:u w:val="single"/>
          </w:rPr>
          <w:t xml:space="preserve">Épictète — Enchiridion (texte intégral, MIT Classics)</w:t>
        </w:r>
      </w:hyperlink>
      <w:r>
        <w:rPr>
          <w:rFonts w:ascii="Times New Roman" w:cs="Times New Roman" w:eastAsia="Times New Roman" w:hAnsi="Times New Roman"/>
          <w:color w:val="1F2937"/>
          <w:sz w:val="22"/>
          <w:szCs w:val="22"/>
        </w:rPr>
        <w:t xml:space="preserve">  — §§ 3, 5, 11, 20, 21, 26, 42 : deuil, peur, colère, indifférents</w:t>
      </w:r>
    </w:p>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Prochaine leçon (n°12 / 20)</w:t>
      </w:r>
    </w:p>
    <w:p>
      <w:pPr>
        <w:spacing w:after="80" w:before="80"/>
      </w:pPr>
      <w:r>
        <w:rPr>
          <w:rFonts w:ascii="Times New Roman" w:cs="Times New Roman" w:eastAsia="Times New Roman" w:hAnsi="Times New Roman"/>
          <w:b w:val="false"/>
          <w:bCs w:val="false"/>
          <w:color w:val="1F2937"/>
          <w:sz w:val="22"/>
          <w:szCs w:val="22"/>
        </w:rPr>
        <w:t xml:space="preserve">Thème : Musonius Rufus : le stoïcisme comme exercice concret.</w:t>
      </w:r>
    </w:p>
    <w:p>
      <w:pPr>
        <w:spacing w:after="80" w:before="80"/>
      </w:pPr>
      <w:r>
        <w:rPr>
          <w:rFonts w:ascii="Times New Roman" w:cs="Times New Roman" w:eastAsia="Times New Roman" w:hAnsi="Times New Roman"/>
          <w:b w:val="false"/>
          <w:bCs w:val="false"/>
          <w:color w:val="1F2937"/>
          <w:sz w:val="22"/>
          <w:szCs w:val="22"/>
        </w:rPr>
        <w:t xml:space="preserve">Musonius Rufus, souvent appelé « le Socrate romain », est le maître d'Épictète. Contrairement aux traités abstraits, ses Diatribes sont ancrées dans la vie concrète : alimentation, mariage, travail, discipline du corps. La leçon explorera comment le stoïcisme se pratique — littéralement — au quotidien, et pourquoi Musonius considérait que philosopher sans agir en conséquence n'était qu'un exercice vain.</w:t>
      </w:r>
    </w:p>
    <w:p>
      <w:pPr>
        <w:spacing w:after="160" w:before="160"/>
        <w:jc w:val="center"/>
      </w:pPr>
      <w:r>
        <w:rPr>
          <w:rFonts w:ascii="Times New Roman" w:cs="Times New Roman" w:eastAsia="Times New Roman" w:hAnsi="Times New Roman"/>
          <w:color w:val="BBBBBB"/>
          <w:sz w:val="18"/>
          <w:szCs w:val="18"/>
        </w:rPr>
        <w:t xml:space="preserve">─────────────────────────────────────────</w:t>
      </w:r>
    </w:p>
    <w:p>
      <w:pPr>
        <w:pStyle w:val="Heading2"/>
        <w:spacing w:after="160" w:before="36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b w:val="false"/>
          <w:bCs w:val="false"/>
          <w:color w:val="1F2937"/>
          <w:sz w:val="22"/>
          <w:szCs w:val="22"/>
        </w:rPr>
        <w:t xml:space="preserve">Cette leçon a été produite et relue le 20/08/2026. Les deux corrections sont fondues dans le texte ci-dessus ; la formulation d'origine est conservée ici, pour que rien ne se perde entre les deux versions.</w:t>
      </w:r>
    </w:p>
    <w:p>
      <w:pPr>
        <w:spacing w:after="80" w:before="80"/>
      </w:pPr>
      <w:r>
        <w:rPr>
          <w:rFonts w:ascii="Times New Roman" w:cs="Times New Roman" w:eastAsia="Times New Roman" w:hAnsi="Times New Roman"/>
          <w:b w:val="false"/>
          <w:bCs w:val="false"/>
          <w:color w:val="1F2937"/>
          <w:sz w:val="22"/>
          <w:szCs w:val="22"/>
        </w:rPr>
        <w:t xml:space="preserve">1. Référence de la citation de Marc Aurèle.</w:t>
      </w:r>
    </w:p>
    <w:p>
      <w:pPr>
        <w:spacing w:after="80" w:before="80"/>
      </w:pPr>
      <w:r>
        <w:rPr>
          <w:rFonts w:ascii="Times New Roman" w:cs="Times New Roman" w:eastAsia="Times New Roman" w:hAnsi="Times New Roman"/>
          <w:b w:val="false"/>
          <w:bCs w:val="false"/>
          <w:color w:val="1F2937"/>
          <w:sz w:val="22"/>
          <w:szCs w:val="22"/>
        </w:rPr>
        <w:t xml:space="preserve">Version initiale : « ses Méditations (IV, 1) », puis « — Marc Aurèle, Méditations, IV, 1 ». La formule citée — « L'obstacle à l'action fait avancer l'action. Ce qui se dresse en travers du chemin devient le chemin » — se trouve en Méditations V, 20, et non IV, 1. Vérifié le 20/08/2026 sur le texte intégral (traduction Long, MIT Classics) : le livre IV contient bien l'image voisine du feu qui convertit ce qu'on y jette, ce qui explique la confusion, mais la formulation reprise ici est celle du livre V — c'est aussi la référence que retient Ryan Holiday. Corrigé aux deux endroits.</w:t>
      </w:r>
    </w:p>
    <w:p>
      <w:pPr>
        <w:spacing w:after="80" w:before="80"/>
      </w:pPr>
      <w:r>
        <w:rPr>
          <w:rFonts w:ascii="Times New Roman" w:cs="Times New Roman" w:eastAsia="Times New Roman" w:hAnsi="Times New Roman"/>
          <w:b w:val="false"/>
          <w:bCs w:val="false"/>
          <w:color w:val="1F2937"/>
          <w:sz w:val="22"/>
          <w:szCs w:val="22"/>
        </w:rPr>
        <w:t xml:space="preserve">2. Numéro de la leçon posant la dichotomie du contrôle.</w:t>
      </w:r>
    </w:p>
    <w:p>
      <w:pPr>
        <w:spacing w:after="80" w:before="80"/>
      </w:pPr>
      <w:r>
        <w:rPr>
          <w:rFonts w:ascii="Times New Roman" w:cs="Times New Roman" w:eastAsia="Times New Roman" w:hAnsi="Times New Roman"/>
          <w:b w:val="false"/>
          <w:bCs w:val="false"/>
          <w:color w:val="1F2937"/>
          <w:sz w:val="22"/>
          <w:szCs w:val="22"/>
        </w:rPr>
        <w:t xml:space="preserve">Version initiale : « fondamental depuis la leçon 2 sur la dichotomie du contrôle ». La dichotomie du contrôle est l'objet de la leçon 1 (05/06/2026) ; la leçon 2 l'élargit au cadre des trois disciplines d'Épictète, où elle devient le cœur de la discipline du désir. Corrigé en « leçon 1 ».</w:t>
      </w:r>
    </w:p>
    <w:p>
      <w:pPr>
        <w:spacing w:after="80" w:before="80"/>
      </w:pPr>
      <w:r>
        <w:rPr>
          <w:rFonts w:ascii="Times New Roman" w:cs="Times New Roman" w:eastAsia="Times New Roman" w:hAnsi="Times New Roman"/>
          <w:b w:val="false"/>
          <w:bCs w:val="false"/>
          <w:color w:val="1F2937"/>
          <w:sz w:val="22"/>
          <w:szCs w:val="22"/>
        </w:rPr>
        <w:t xml:space="preserve">Vérifié lors de la relecture et inchangé : les six paragraphes de l'Enchiridion mobilisés (§5 les jugements plutôt que les choses, §11 la restitution, §20 l'offense qui vient de l'opinion, §21 la mort et l'exil sous les yeux, §26, §42 celui qui nuit agit selon sa propre vision du devoir), contrôlés le 20/08/2026 sur le texte intégral MIT Classics ; l'attribution du De Ira à Sénèque ; la distinction pathē / eupatheiai et les trois eupatheiai citées (chara, boulêsis, eulabeia). Les citations restent présentées comme des synthèses et non des verbatim : la précaution est maintenue.</w:t>
      </w:r>
    </w:p>
    <w:p>
      <w:pPr>
        <w:spacing w:after="160" w:before="160"/>
        <w:jc w:val="center"/>
      </w:pPr>
      <w:r>
        <w:rPr>
          <w:rFonts w:ascii="Times New Roman" w:cs="Times New Roman" w:eastAsia="Times New Roman" w:hAnsi="Times New Roman"/>
          <w:color w:val="BBBBBB"/>
          <w:sz w:val="18"/>
          <w:szCs w:val="18"/>
        </w:rPr>
        <w:t xml:space="preserve">─────────────────────────────────────────</w:t>
      </w:r>
    </w:p>
    <w:p>
      <w:pPr>
        <w:spacing w:after="0" w:before="200"/>
        <w:jc w:val="center"/>
      </w:pPr>
      <w:r>
        <w:rPr>
          <w:rFonts w:ascii="Times New Roman" w:cs="Times New Roman" w:eastAsia="Times New Roman" w:hAnsi="Times New Roman"/>
          <w:color w:val="AAAAAA"/>
          <w:sz w:val="18"/>
          <w:szCs w:val="18"/>
        </w:rPr>
        <w:t xml:space="preserve">Parcours Stoïcisme — Leçon 11 / 20 · 2026-08-20 · Usage personnel</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ewfzj6euyfb8keuk7mru" Type="http://schemas.openxmlformats.org/officeDocument/2006/relationships/hyperlink" Target="https://dailystoic.com/stoic-response-grief/" TargetMode="External"/><Relationship Id="rIdn9qfewty1waju31x9f0ng" Type="http://schemas.openxmlformats.org/officeDocument/2006/relationships/hyperlink" Target="https://dailystoic.com/20-stoic-adversity-quotes/" TargetMode="External"/><Relationship Id="rIdbvuvb--sm1myllqq1hrq5" Type="http://schemas.openxmlformats.org/officeDocument/2006/relationships/hyperlink" Target="https://www.thecollector.com/exercises-stoicism-practice/" TargetMode="External"/><Relationship Id="rId_fgxzvcybng1nvdpwtvin" Type="http://schemas.openxmlformats.org/officeDocument/2006/relationships/hyperlink" Target="https://plato.stanford.edu/entries/stoicism/" TargetMode="External"/><Relationship Id="rIdlxtvqkqvvjhjqttqttqdn" Type="http://schemas.openxmlformats.org/officeDocument/2006/relationships/hyperlink" Target="https://en.wikipedia.org/wiki/Stoicism" TargetMode="External"/><Relationship Id="rIdxwv3ths0u9puqyqw1qyrj" Type="http://schemas.openxmlformats.org/officeDocument/2006/relationships/hyperlink" Target="https://classics.mit.edu/Epictetus/epicench.htm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n°11 — Le stoïcisme face à l'adversité : deuil, colère, peur, échec</dc:title>
  <dc:creator>Claude Code — Parcours Stoïcisme</dc:creator>
  <dc:description>Leçon 11/20 du parcours Stoïcisme — 2026-08-20</dc:description>
  <cp:lastModifiedBy>Un-named</cp:lastModifiedBy>
  <cp:revision>1</cp:revision>
  <dcterms:created xsi:type="dcterms:W3CDTF">2026-08-20T06:07:46.611Z</dcterms:created>
  <dcterms:modified xsi:type="dcterms:W3CDTF">2026-08-20T06:07:46.612Z</dcterms:modified>
</cp:coreProperties>
</file>

<file path=docProps/custom.xml><?xml version="1.0" encoding="utf-8"?>
<Properties xmlns="http://schemas.openxmlformats.org/officeDocument/2006/custom-properties" xmlns:vt="http://schemas.openxmlformats.org/officeDocument/2006/docPropsVTypes"/>
</file>