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
        <w:jc w:val="center"/>
      </w:pPr>
      <w:r>
        <w:rPr>
          <w:rFonts w:ascii="Calibri" w:cs="Calibri" w:eastAsia="Calibri" w:hAnsi="Calibri"/>
          <w:b/>
          <w:bCs/>
          <w:color w:val="1B3A6B"/>
          <w:sz w:val="56"/>
          <w:szCs w:val="56"/>
        </w:rPr>
        <w:t xml:space="preserve">Veille AI Act — Compte-rendu</w:t>
      </w:r>
    </w:p>
    <w:p>
      <w:pPr>
        <w:spacing w:after="80"/>
      </w:pPr>
      <w:r>
        <w:rPr>
          <w:rFonts w:ascii="Calibri" w:cs="Calibri" w:eastAsia="Calibri" w:hAnsi="Calibri"/>
          <w:b/>
          <w:bCs/>
          <w:color w:val="1B3A6B"/>
          <w:sz w:val="22"/>
          <w:szCs w:val="22"/>
        </w:rPr>
        <w:t xml:space="preserve">Date : 9 octobre 2026</w:t>
      </w:r>
    </w:p>
    <w:p>
      <w:pPr>
        <w:spacing w:after="80"/>
      </w:pPr>
      <w:r>
        <w:rPr>
          <w:rFonts w:ascii="Calibri" w:cs="Calibri" w:eastAsia="Calibri" w:hAnsi="Calibri"/>
          <w:b w:val="false"/>
          <w:bCs w:val="false"/>
          <w:color w:val="1F2937"/>
          <w:sz w:val="22"/>
          <w:szCs w:val="22"/>
        </w:rPr>
        <w:t xml:space="preserve">Fenêtre couverte : 2 octobre 2026 → 9 octobre 2026</w:t>
      </w:r>
    </w:p>
    <w:p>
      <w:pPr>
        <w:spacing w:after="80"/>
      </w:pPr>
      <w:r>
        <w:rPr>
          <w:rFonts w:ascii="Calibri" w:cs="Calibri" w:eastAsia="Calibri" w:hAnsi="Calibri"/>
          <w:b w:val="false"/>
          <w:bCs w:val="false"/>
          <w:color w:val="1F2937"/>
          <w:sz w:val="22"/>
          <w:szCs w:val="22"/>
        </w:rPr>
        <w:t xml:space="preserve">Sources : 4 sources exploitées (✅), 3 consultées sans élément nouveau, 2 inaccessibles (⛔) — sur 9 tentées</w:t>
      </w:r>
    </w:p>
    <w:p>
      <w:pPr>
        <w:spacing w:after="80"/>
      </w:pPr>
      <w:r>
        <w:rPr>
          <w:rFonts w:ascii="Calibri" w:cs="Calibri" w:eastAsia="Calibri" w:hAnsi="Calibri"/>
          <w:b w:val="false"/>
          <w:bCs w:val="false"/>
          <w:color w:val="1F2937"/>
          <w:sz w:val="22"/>
          <w:szCs w:val="22"/>
        </w:rPr>
        <w:t xml:space="preserve">Faits marquants de la semaine : 2</w:t>
      </w:r>
    </w:p>
    <w:p>
      <w:pPr>
        <w:spacing w:after="40"/>
      </w:pPr>
      <w:r>
        <w:t xml:space="preserve"/>
      </w:r>
    </w:p>
    <w:p>
      <w:pPr>
        <w:spacing w:after="80"/>
      </w:pPr>
      <w:r>
        <w:rPr>
          <w:rFonts w:ascii="Calibri" w:cs="Calibri" w:eastAsia="Calibri" w:hAnsi="Calibri"/>
          <w:b/>
          <w:bCs/>
          <w:color w:val="166534"/>
          <w:sz w:val="22"/>
          <w:szCs w:val="22"/>
        </w:rPr>
        <w:t xml:space="preserve">🟢  Niveau d'alerte : VERT — Aucun élément critique. Semaine analytique sans publication officielle nouvelle.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En bref</w:t>
      </w:r>
    </w:p>
    <w:p>
      <w:pPr>
        <w:pStyle w:val="ListParagraph"/>
        <w:numPr>
          <w:ilvl w:val="0"/>
          <w:numId w:val="1"/>
        </w:numPr>
        <w:spacing w:after="80"/>
      </w:pPr>
      <w:r>
        <w:rPr>
          <w:rFonts w:ascii="Calibri" w:cs="Calibri" w:eastAsia="Calibri" w:hAnsi="Calibri"/>
          <w:b w:val="false"/>
          <w:bCs w:val="false"/>
          <w:color w:val="1F2937"/>
          <w:sz w:val="22"/>
          <w:szCs w:val="22"/>
        </w:rPr>
        <w:t xml:space="preserve">IAPP — Isabelle Roccia (08/10/2026) : malgré l'absence de convergence réglementaire totale, la prévisibilité et la cohérence de la politique européenne (dont les initiatives Digital Omnibus) aident les organisations à naviguer leurs obligations de conformité IA.</w:t>
      </w:r>
    </w:p>
    <w:p>
      <w:pPr>
        <w:pStyle w:val="ListParagraph"/>
        <w:numPr>
          <w:ilvl w:val="0"/>
          <w:numId w:val="1"/>
        </w:numPr>
        <w:spacing w:after="80"/>
      </w:pPr>
      <w:r>
        <w:rPr>
          <w:rFonts w:ascii="Calibri" w:cs="Calibri" w:eastAsia="Calibri" w:hAnsi="Calibri"/>
          <w:b w:val="false"/>
          <w:bCs w:val="false"/>
          <w:color w:val="1F2937"/>
          <w:sz w:val="22"/>
          <w:szCs w:val="22"/>
        </w:rPr>
        <w:t xml:space="preserve">IAPP — Daniel A. Zamudio Lopez (07/10/2026, MEMBER) : proposition d'un principe de « governance minimization » adapté à la taxonomie de risques de l'EU AI Act — chaque cas d'usage IA (chatbot, agents autonomes, systèmes sensibles) appelle un niveau d'oversight distinct. Seule l'introduction a pu être lue.</w:t>
      </w:r>
    </w:p>
    <w:p>
      <w:pPr>
        <w:pStyle w:val="ListParagraph"/>
        <w:numPr>
          <w:ilvl w:val="0"/>
          <w:numId w:val="1"/>
        </w:numPr>
        <w:spacing w:after="80"/>
      </w:pPr>
      <w:r>
        <w:rPr>
          <w:rFonts w:ascii="Calibri" w:cs="Calibri" w:eastAsia="Calibri" w:hAnsi="Calibri"/>
          <w:b w:val="false"/>
          <w:bCs w:val="false"/>
          <w:color w:val="1F2937"/>
          <w:sz w:val="22"/>
          <w:szCs w:val="22"/>
        </w:rPr>
        <w:t xml:space="preserve">Semaine institutionnelle creuse : aucune publication nouvelle de la Commission européenne, du Conseil UE, de la CNIL ou du Future of Life Institute dans la fenêtre du 2 au 9 octobre 2026.</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b w:val="false"/>
          <w:bCs w:val="false"/>
          <w:color w:val="1F2937"/>
          <w:sz w:val="22"/>
          <w:szCs w:val="22"/>
        </w:rPr>
        <w:t xml:space="preserve">Source : </w:t>
      </w:r>
      <w:hyperlink w:history="1" r:id="rIdl0gxkat1wptthzde5ke-a">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b w:val="false"/>
          <w:bCs w:val="false"/>
          <w:color w:val="1F2937"/>
          <w:sz w:val="22"/>
          <w:szCs w:val="22"/>
        </w:rPr>
        <w:t xml:space="preserve"> (vérifié le 09/10/2026), prenant en compte les modifications de l'AI Act introduites par le Digital Omnibus on AI (règlement (UE) 2026/1744).</w:t>
      </w:r>
    </w:p>
    <w:p>
      <w:pPr>
        <w:spacing w:after="40"/>
      </w:pPr>
      <w:r>
        <w:t xml:space="preserve"/>
      </w:r>
    </w:p>
    <w:p>
      <w:pPr>
        <w:pStyle w:val="ListParagraph"/>
        <w:numPr>
          <w:ilvl w:val="0"/>
          <w:numId w:val="1"/>
        </w:numPr>
        <w:spacing w:after="80"/>
      </w:pPr>
      <w:r>
        <w:rPr>
          <w:rFonts w:ascii="Calibri" w:cs="Calibri" w:eastAsia="Calibri" w:hAnsi="Calibri"/>
          <w:b/>
          <w:bCs/>
          <w:color w:val="1F2937"/>
          <w:sz w:val="22"/>
          <w:szCs w:val="22"/>
        </w:rPr>
        <w:t xml:space="preserve">⏳ 2 décembre 2026 — Nouvelles interdictions : deepfakes sexuels non consentis et CSAM entrent en application. Fin de la période transitoire de l'art. 50 §2 pour les systèmes génératifs mis sur le marché avant le 2 août 2026.</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2027 — Chaque État membre doit disposer d'au moins un bac à sable réglementaire IA opérationnel.</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2027 — Entrée en application des règles pour les systèmes à haut risque (Annexe III).</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2028 — Entrée en application des règles pour les systèmes à haut risque intégrés à des produits réglementés (Annexe I).</w:t>
      </w:r>
    </w:p>
    <w:p>
      <w:pPr>
        <w:spacing w:after="40"/>
      </w:pPr>
      <w:r>
        <w:t xml:space="preserve"/>
      </w:r>
    </w:p>
    <w:p>
      <w:pPr>
        <w:spacing w:after="80"/>
      </w:pPr>
      <w:r>
        <w:rPr>
          <w:rFonts w:ascii="Calibri" w:cs="Calibri" w:eastAsia="Calibri" w:hAnsi="Calibri"/>
          <w:b w:val="false"/>
          <w:bCs w:val="false"/>
          <w:color w:val="6B7280"/>
          <w:sz w:val="22"/>
          <w:szCs w:val="22"/>
        </w:rPr>
        <w:t xml:space="preserve">Références législatives (héritées du cadrage du 30/08/2026, non vérifiées à EUR-Lex lors de cette exécution — EUR-Lex inaccessible, retour vide) : règlement (UE) 2024/1689 tel que modifié par le règlement (UE) 2026/1744 (JOUE du 24 juillet 2026, en vigueur le 27 juillet 2026). Le CELEX 32026R1744 répond 202 (redirection) en headless.</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Commission européenne — </w:t>
      </w:r>
      <w:hyperlink w:history="1" r:id="rIdnose_7ihgsakoxixomedb">
        <w:r>
          <w:rPr>
            <w:rFonts w:ascii="Calibri" w:cs="Calibri" w:eastAsia="Calibri" w:hAnsi="Calibri"/>
            <w:color w:val="1155CC"/>
            <w:sz w:val="22"/>
            <w:szCs w:val="22"/>
            <w:u w:val="single"/>
          </w:rPr>
          <w:t xml:space="preserve">digital-strategy.ec.europa.eu</w:t>
        </w:r>
      </w:hyperlink>
    </w:p>
    <w:p>
      <w:pPr>
        <w:spacing w:after="80"/>
      </w:pPr>
      <w:r>
        <w:rPr>
          <w:rFonts w:ascii="Calibri" w:cs="Calibri" w:eastAsia="Calibri" w:hAnsi="Calibri"/>
          <w:b w:val="false"/>
          <w:bCs w:val="false"/>
          <w:color w:val="1F2937"/>
          <w:sz w:val="22"/>
          <w:szCs w:val="22"/>
        </w:rPr>
        <w:t xml:space="preserve">Consultée — sans élément nouveau dans la fenêtre du 2 au 9 octobre 2026. Les dernières actualités indexées sur cette page portaient sur le lancement de l'EDIC Agri-Food (1er octobre) et l'Eurobaromètre sur les cybermenaces (30 septembre) — tous deux hors fenêtre du jour et déjà couverts dans le CR du 2 octobre 2026.</w:t>
      </w:r>
    </w:p>
    <w:p>
      <w:pPr>
        <w:spacing w:after="40"/>
      </w:pPr>
      <w:r>
        <w:t xml:space="preserve"/>
      </w:r>
    </w:p>
    <w:p>
      <w:pPr>
        <w:spacing w:after="80"/>
      </w:pPr>
      <w:r>
        <w:rPr>
          <w:rFonts w:ascii="Calibri" w:cs="Calibri" w:eastAsia="Calibri" w:hAnsi="Calibri"/>
          <w:b/>
          <w:bCs/>
          <w:color w:val="1F2937"/>
          <w:sz w:val="22"/>
          <w:szCs w:val="22"/>
        </w:rPr>
        <w:t xml:space="preserve">AI Act Service Desk — Calendrier d'implémentation</w:t>
      </w:r>
    </w:p>
    <w:p>
      <w:pPr>
        <w:spacing w:after="80"/>
      </w:pPr>
      <w:r>
        <w:rPr>
          <w:rFonts w:ascii="Calibri" w:cs="Calibri" w:eastAsia="Calibri" w:hAnsi="Calibri"/>
          <w:b w:val="false"/>
          <w:bCs w:val="false"/>
          <w:color w:val="1F2937"/>
          <w:sz w:val="22"/>
          <w:szCs w:val="22"/>
        </w:rPr>
        <w:t xml:space="preserve">Consulté — calendrier stable, pas de mise à jour dans la fenêtre. Voir section Échéances ci-dessus pour les jalons relevés littéralement sur la page.</w:t>
      </w:r>
    </w:p>
    <w:p>
      <w:pPr>
        <w:spacing w:after="40"/>
      </w:pPr>
      <w:r>
        <w:t xml:space="preserve"/>
      </w:r>
    </w:p>
    <w:p>
      <w:pPr>
        <w:spacing w:after="80"/>
      </w:pPr>
      <w:r>
        <w:rPr>
          <w:rFonts w:ascii="Calibri" w:cs="Calibri" w:eastAsia="Calibri" w:hAnsi="Calibri"/>
          <w:b/>
          <w:bCs/>
          <w:color w:val="1F2937"/>
          <w:sz w:val="22"/>
          <w:szCs w:val="22"/>
        </w:rPr>
        <w:t xml:space="preserve">Conseil de l'UE — ⛔ inaccessible</w:t>
      </w:r>
    </w:p>
    <w:p>
      <w:pPr>
        <w:spacing w:after="80"/>
      </w:pPr>
      <w:r>
        <w:rPr>
          <w:rFonts w:ascii="Calibri" w:cs="Calibri" w:eastAsia="Calibri" w:hAnsi="Calibri"/>
          <w:b w:val="false"/>
          <w:bCs w:val="false"/>
          <w:color w:val="1F2937"/>
          <w:sz w:val="22"/>
          <w:szCs w:val="22"/>
        </w:rPr>
        <w:t xml:space="preserve">Blocage Cloudflare (HTTP 403). Inaccessible en mode headless quel que soit l'agent utilisé.</w:t>
      </w:r>
    </w:p>
    <w:p>
      <w:pPr>
        <w:spacing w:after="40"/>
      </w:pPr>
      <w:r>
        <w:t xml:space="preserve"/>
      </w:r>
    </w:p>
    <w:p>
      <w:pPr>
        <w:spacing w:after="80"/>
      </w:pPr>
      <w:r>
        <w:rPr>
          <w:rFonts w:ascii="Calibri" w:cs="Calibri" w:eastAsia="Calibri" w:hAnsi="Calibri"/>
          <w:b/>
          <w:bCs/>
          <w:color w:val="1F2937"/>
          <w:sz w:val="22"/>
          <w:szCs w:val="22"/>
        </w:rPr>
        <w:t xml:space="preserve">EUR-Lex — ⛔ inaccessible</w:t>
      </w:r>
    </w:p>
    <w:p>
      <w:pPr>
        <w:spacing w:after="80"/>
      </w:pPr>
      <w:r>
        <w:rPr>
          <w:rFonts w:ascii="Calibri" w:cs="Calibri" w:eastAsia="Calibri" w:hAnsi="Calibri"/>
          <w:b w:val="false"/>
          <w:bCs w:val="false"/>
          <w:color w:val="1F2937"/>
          <w:sz w:val="22"/>
          <w:szCs w:val="22"/>
        </w:rPr>
        <w:t xml:space="preserve">La page de recherche EUR-Lex retourne un contenu vide (SPA JavaScript côté client). La tentative directe sur CELEX:32026R1744 répond 202 sans contenu extractible.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Article 1 — Lu en entier : </w:t>
      </w:r>
      <w:hyperlink w:history="1" r:id="rIdj23txth8kbkso32bir5kl">
        <w:r>
          <w:rPr>
            <w:rFonts w:ascii="Calibri" w:cs="Calibri" w:eastAsia="Calibri" w:hAnsi="Calibri"/>
            <w:color w:val="1155CC"/>
            <w:sz w:val="22"/>
            <w:szCs w:val="22"/>
            <w:u w:val="single"/>
          </w:rPr>
          <w:t xml:space="preserve">A view from Brussels: Short of convergence, can predictability and coherence save the day?</w:t>
        </w:r>
      </w:hyperlink>
      <w:r>
        <w:rPr>
          <w:rFonts w:ascii="Calibri" w:cs="Calibri" w:eastAsia="Calibri" w:hAnsi="Calibri"/>
          <w:b w:val="false"/>
          <w:bCs w:val="false"/>
          <w:color w:val="1F2937"/>
          <w:sz w:val="22"/>
          <w:szCs w:val="22"/>
        </w:rPr>
        <w:t xml:space="preserve"> — IAPP, Isabelle Roccia (CIPP/E, Managing Director Europe, IAPP) — 8 octobre 2026</w:t>
      </w:r>
    </w:p>
    <w:p>
      <w:pPr>
        <w:pStyle w:val="ListParagraph"/>
        <w:numPr>
          <w:ilvl w:val="0"/>
          <w:numId w:val="1"/>
        </w:numPr>
        <w:spacing w:after="80"/>
      </w:pPr>
      <w:r>
        <w:rPr>
          <w:rFonts w:ascii="Calibri" w:cs="Calibri" w:eastAsia="Calibri" w:hAnsi="Calibri"/>
          <w:b w:val="false"/>
          <w:bCs w:val="false"/>
          <w:color w:val="1F2937"/>
          <w:sz w:val="22"/>
          <w:szCs w:val="22"/>
        </w:rPr>
        <w:t xml:space="preserve">La convergence réglementaire complète en Europe reste un chantier en cours. L'auteure soutient que la prévisibilité et la cohérence de la politique numérique de l'UE compensent ces écarts.</w:t>
      </w:r>
    </w:p>
    <w:p>
      <w:pPr>
        <w:pStyle w:val="ListParagraph"/>
        <w:numPr>
          <w:ilvl w:val="0"/>
          <w:numId w:val="1"/>
        </w:numPr>
        <w:spacing w:after="80"/>
      </w:pPr>
      <w:r>
        <w:rPr>
          <w:rFonts w:ascii="Calibri" w:cs="Calibri" w:eastAsia="Calibri" w:hAnsi="Calibri"/>
          <w:b w:val="false"/>
          <w:bCs w:val="false"/>
          <w:color w:val="1F2937"/>
          <w:sz w:val="22"/>
          <w:szCs w:val="22"/>
        </w:rPr>
        <w:t xml:space="preserve">Sur la politique numérique européenne, la page décrit une orientation constante : « The focus will be on a human-centric approach to the use of technology, harmonization of rules or digital sovereignty. »</w:t>
      </w:r>
    </w:p>
    <w:p>
      <w:pPr>
        <w:pStyle w:val="ListParagraph"/>
        <w:numPr>
          <w:ilvl w:val="0"/>
          <w:numId w:val="1"/>
        </w:numPr>
        <w:spacing w:after="80"/>
      </w:pPr>
      <w:r>
        <w:rPr>
          <w:rFonts w:ascii="Calibri" w:cs="Calibri" w:eastAsia="Calibri" w:hAnsi="Calibri"/>
          <w:b w:val="false"/>
          <w:bCs w:val="false"/>
          <w:color w:val="1F2937"/>
          <w:sz w:val="22"/>
          <w:szCs w:val="22"/>
        </w:rPr>
        <w:t xml:space="preserve">Sur les Digital Omnibus : « The various Digital Omnibus initiatives are emblematic of this trend. Their stated objective is straightforward: reduce unnecessary administrative burdens, streamline overlapping requirements and lower the cost of compliance. »</w:t>
      </w:r>
    </w:p>
    <w:p>
      <w:pPr>
        <w:pStyle w:val="ListParagraph"/>
        <w:numPr>
          <w:ilvl w:val="0"/>
          <w:numId w:val="1"/>
        </w:numPr>
        <w:spacing w:after="80"/>
      </w:pPr>
      <w:r>
        <w:rPr>
          <w:rFonts w:ascii="Calibri" w:cs="Calibri" w:eastAsia="Calibri" w:hAnsi="Calibri"/>
          <w:b w:val="false"/>
          <w:bCs w:val="false"/>
          <w:color w:val="1F2937"/>
          <w:sz w:val="22"/>
          <w:szCs w:val="22"/>
        </w:rPr>
        <w:t xml:space="preserve">Analyse : cette simplification est présentée comme une légère correction de cap sans remettre en cause les fondements de la politique numérique des vingt dernières années.</w:t>
      </w:r>
    </w:p>
    <w:p>
      <w:pPr>
        <w:pStyle w:val="ListParagraph"/>
        <w:numPr>
          <w:ilvl w:val="0"/>
          <w:numId w:val="1"/>
        </w:numPr>
        <w:spacing w:after="80"/>
      </w:pPr>
      <w:r>
        <w:rPr>
          <w:rFonts w:ascii="Calibri" w:cs="Calibri" w:eastAsia="Calibri" w:hAnsi="Calibri"/>
          <w:b w:val="false"/>
          <w:bCs w:val="false"/>
          <w:color w:val="1F2937"/>
          <w:sz w:val="22"/>
          <w:szCs w:val="22"/>
        </w:rPr>
        <w:t xml:space="preserve">Portée : article d'opinion, pas de décision officielle. Perspective utile pour situer l'AI Act dans la dynamique d'ensemble de la politique numérique européenne.</w:t>
      </w:r>
    </w:p>
    <w:p>
      <w:pPr>
        <w:spacing w:after="40"/>
      </w:pPr>
      <w:r>
        <w:t xml:space="preserve"/>
      </w:r>
    </w:p>
    <w:p>
      <w:pPr>
        <w:spacing w:after="80"/>
      </w:pPr>
      <w:r>
        <w:rPr>
          <w:rFonts w:ascii="Calibri" w:cs="Calibri" w:eastAsia="Calibri" w:hAnsi="Calibri"/>
          <w:b/>
          <w:bCs/>
          <w:color w:val="1F2937"/>
          <w:sz w:val="22"/>
          <w:szCs w:val="22"/>
        </w:rPr>
        <w:t xml:space="preserve">Article 2 — MEMBER (introduction uniquement) : </w:t>
      </w:r>
      <w:hyperlink w:history="1" r:id="rIdz5zion4ooansq2mwxndda">
        <w:r>
          <w:rPr>
            <w:rFonts w:ascii="Calibri" w:cs="Calibri" w:eastAsia="Calibri" w:hAnsi="Calibri"/>
            <w:color w:val="1155CC"/>
            <w:sz w:val="22"/>
            <w:szCs w:val="22"/>
            <w:u w:val="single"/>
          </w:rPr>
          <w:t xml:space="preserve">Applying the minimization principle to AI governance</w:t>
        </w:r>
      </w:hyperlink>
      <w:r>
        <w:rPr>
          <w:rFonts w:ascii="Calibri" w:cs="Calibri" w:eastAsia="Calibri" w:hAnsi="Calibri"/>
          <w:b w:val="false"/>
          <w:bCs w:val="false"/>
          <w:color w:val="1F2937"/>
          <w:sz w:val="22"/>
          <w:szCs w:val="22"/>
        </w:rPr>
        <w:t xml:space="preserve"> — IAPP, Daniel A. Zamudio Lopez (AIGP, EPMO Director, Santander Bank NA) — 7 octobre 2026</w:t>
      </w:r>
    </w:p>
    <w:p>
      <w:pPr>
        <w:pStyle w:val="ListParagraph"/>
        <w:numPr>
          <w:ilvl w:val="0"/>
          <w:numId w:val="1"/>
        </w:numPr>
        <w:spacing w:after="80"/>
      </w:pPr>
      <w:r>
        <w:rPr>
          <w:rFonts w:ascii="Calibri" w:cs="Calibri" w:eastAsia="Calibri" w:hAnsi="Calibri"/>
          <w:b w:val="false"/>
          <w:bCs w:val="false"/>
          <w:color w:val="1F2937"/>
          <w:sz w:val="22"/>
          <w:szCs w:val="22"/>
        </w:rPr>
        <w:t xml:space="preserve">Propose un principe de « governance minimization » : adapter le niveau d'oversight aux risques spécifiques de chaque cas d'usage IA, plutôt qu'imposer un cadre unique.</w:t>
      </w:r>
    </w:p>
    <w:p>
      <w:pPr>
        <w:pStyle w:val="ListParagraph"/>
        <w:numPr>
          <w:ilvl w:val="0"/>
          <w:numId w:val="1"/>
        </w:numPr>
        <w:spacing w:after="80"/>
      </w:pPr>
      <w:r>
        <w:rPr>
          <w:rFonts w:ascii="Calibri" w:cs="Calibri" w:eastAsia="Calibri" w:hAnsi="Calibri"/>
          <w:b w:val="false"/>
          <w:bCs w:val="false"/>
          <w:color w:val="1F2937"/>
          <w:sz w:val="22"/>
          <w:szCs w:val="22"/>
        </w:rPr>
        <w:t xml:space="preserve">Ancrage EU AI Act : l'introduction indique littéralement que « This complexity is reflected in modern regulatory frameworks like the EU AI Act, which demands strict adherence to a specific risk taxonomy. » La distinction provider/deployer est explicitée.</w:t>
      </w:r>
    </w:p>
    <w:p>
      <w:pPr>
        <w:pStyle w:val="ListParagraph"/>
        <w:numPr>
          <w:ilvl w:val="0"/>
          <w:numId w:val="1"/>
        </w:numPr>
        <w:spacing w:after="80"/>
      </w:pPr>
      <w:r>
        <w:rPr>
          <w:rFonts w:ascii="Calibri" w:cs="Calibri" w:eastAsia="Calibri" w:hAnsi="Calibri"/>
          <w:b w:val="false"/>
          <w:bCs w:val="false"/>
          <w:color w:val="1F2937"/>
          <w:sz w:val="22"/>
          <w:szCs w:val="22"/>
        </w:rPr>
        <w:t xml:space="preserve">Exemple : les exigences de conformité d'un chatbot simple diffèrent radicalement de celles d'agents autonomes gérant des workflows sensibles.</w:t>
      </w:r>
    </w:p>
    <w:p>
      <w:pPr>
        <w:pStyle w:val="ListParagraph"/>
        <w:numPr>
          <w:ilvl w:val="0"/>
          <w:numId w:val="1"/>
        </w:numPr>
        <w:spacing w:after="80"/>
      </w:pPr>
      <w:r>
        <w:rPr>
          <w:rFonts w:ascii="Calibri" w:cs="Calibri" w:eastAsia="Calibri" w:hAnsi="Calibri"/>
          <w:b w:val="false"/>
          <w:bCs w:val="false"/>
          <w:color w:val="1F2937"/>
          <w:sz w:val="22"/>
          <w:szCs w:val="22"/>
        </w:rPr>
        <w:t xml:space="preserve">Limite : le corps de l'article est réservé aux membres IAPP. Seule l'introduction a pu être lue. Les développements pratiques ne sont pas accessibles.</w:t>
      </w:r>
    </w:p>
    <w:p>
      <w:pPr>
        <w:spacing w:after="40"/>
      </w:pPr>
      <w:r>
        <w:t xml:space="preserve"/>
      </w:r>
    </w:p>
    <w:p>
      <w:pPr>
        <w:spacing w:after="80"/>
      </w:pPr>
      <w:r>
        <w:rPr>
          <w:rFonts w:ascii="Calibri" w:cs="Calibri" w:eastAsia="Calibri" w:hAnsi="Calibri"/>
          <w:b/>
          <w:bCs/>
          <w:color w:val="1F2937"/>
          <w:sz w:val="22"/>
          <w:szCs w:val="22"/>
        </w:rPr>
        <w:t xml:space="preserve">Future of Life Institute — </w:t>
      </w:r>
      <w:hyperlink w:history="1" r:id="rIdx7c4spkxqwbmwo0n6mt25">
        <w:r>
          <w:rPr>
            <w:rFonts w:ascii="Calibri" w:cs="Calibri" w:eastAsia="Calibri" w:hAnsi="Calibri"/>
            <w:color w:val="1155CC"/>
            <w:sz w:val="22"/>
            <w:szCs w:val="22"/>
            <w:u w:val="single"/>
          </w:rPr>
          <w:t xml:space="preserve">artificialintelligenceact.eu</w:t>
        </w:r>
      </w:hyperlink>
    </w:p>
    <w:p>
      <w:pPr>
        <w:spacing w:after="80"/>
      </w:pPr>
      <w:r>
        <w:rPr>
          <w:rFonts w:ascii="Calibri" w:cs="Calibri" w:eastAsia="Calibri" w:hAnsi="Calibri"/>
          <w:b w:val="false"/>
          <w:bCs w:val="false"/>
          <w:color w:val="1F2937"/>
          <w:sz w:val="22"/>
          <w:szCs w:val="22"/>
        </w:rPr>
        <w:t xml:space="preserve">Consultée (16 208 caractères de texte après suppression des balises et du contenu script/style) — sans élément nouveau dans la fenêtre. Dernier article daté : "AI Therapy under the EU AI Act" (7 août 2026).</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Perspective française (CNIL / RGPD)</w:t>
      </w:r>
    </w:p>
    <w:p>
      <w:pPr>
        <w:spacing w:after="80"/>
      </w:pPr>
      <w:r>
        <w:rPr>
          <w:rFonts w:ascii="Calibri" w:cs="Calibri" w:eastAsia="Calibri" w:hAnsi="Calibri"/>
          <w:b/>
          <w:bCs/>
          <w:color w:val="1F2937"/>
          <w:sz w:val="22"/>
          <w:szCs w:val="22"/>
        </w:rPr>
        <w:t xml:space="preserve">CNIL — page intelligence artificielle</w:t>
      </w:r>
    </w:p>
    <w:p>
      <w:pPr>
        <w:spacing w:after="80"/>
      </w:pPr>
      <w:r>
        <w:rPr>
          <w:rFonts w:ascii="Calibri" w:cs="Calibri" w:eastAsia="Calibri" w:hAnsi="Calibri"/>
          <w:b w:val="false"/>
          <w:bCs w:val="false"/>
          <w:color w:val="1F2937"/>
          <w:sz w:val="22"/>
          <w:szCs w:val="22"/>
        </w:rPr>
        <w:t xml:space="preserve">Consultée — sans élément nouveau dans la fenêtre du 2 au 9 octobre 2026. Dernière publication : « IA : la CNIL met à jour son outil de traçabilité des modèles publiés en source ouverte » (26 août 2026).</w:t>
      </w:r>
    </w:p>
    <w:p>
      <w:pPr>
        <w:spacing w:after="40"/>
      </w:pPr>
      <w:r>
        <w:t xml:space="preserve"/>
      </w:r>
    </w:p>
    <w:p>
      <w:pPr>
        <w:spacing w:after="80"/>
      </w:pPr>
      <w:r>
        <w:rPr>
          <w:rFonts w:ascii="Calibri" w:cs="Calibri" w:eastAsia="Calibri" w:hAnsi="Calibri"/>
          <w:b/>
          <w:bCs/>
          <w:color w:val="1F2937"/>
          <w:sz w:val="22"/>
          <w:szCs w:val="22"/>
        </w:rPr>
        <w:t xml:space="preserve">CNIL — Q&amp;R sur l'entrée en vigueur du règlement IA (mise à jour du 17 août 2026)</w:t>
      </w:r>
    </w:p>
    <w:p>
      <w:pPr>
        <w:spacing w:after="80"/>
      </w:pPr>
      <w:r>
        <w:rPr>
          <w:rFonts w:ascii="Calibri" w:cs="Calibri" w:eastAsia="Calibri" w:hAnsi="Calibri"/>
          <w:b w:val="false"/>
          <w:bCs w:val="false"/>
          <w:color w:val="1F2937"/>
          <w:sz w:val="22"/>
          <w:szCs w:val="22"/>
        </w:rPr>
        <w:t xml:space="preserve">Page stable. Rappel utile pour les ESSMS : le règlement IA ne remplace pas le RGPD. Les deux cadres s'appliquent conjointement lorsque des systèmes IA traitent des données personnelles. La CNIL indique que les deux instruments abordent des notions similaires sous des angles différents (notamment transparence et documentation), ce qui facilite une conformité croisée.</w:t>
      </w:r>
    </w:p>
    <w:p>
      <w:pPr>
        <w:spacing w:after="40"/>
      </w:pPr>
      <w:r>
        <w:t xml:space="preserve"/>
      </w:r>
    </w:p>
    <w:p>
      <w:pPr>
        <w:spacing w:after="80"/>
      </w:pPr>
      <w:r>
        <w:rPr>
          <w:rFonts w:ascii="Calibri" w:cs="Calibri" w:eastAsia="Calibri" w:hAnsi="Calibri"/>
          <w:b/>
          <w:bCs/>
          <w:color w:val="1F2937"/>
          <w:sz w:val="22"/>
          <w:szCs w:val="22"/>
        </w:rPr>
        <w:t xml:space="preserve">Désignation des autorités nationales françaises compétentes IA</w:t>
      </w:r>
    </w:p>
    <w:p>
      <w:pPr>
        <w:spacing w:after="80"/>
      </w:pPr>
      <w:r>
        <w:rPr>
          <w:rFonts w:ascii="Calibri" w:cs="Calibri" w:eastAsia="Calibri" w:hAnsi="Calibri"/>
          <w:b w:val="false"/>
          <w:bCs w:val="false"/>
          <w:color w:val="1F2937"/>
          <w:sz w:val="22"/>
          <w:szCs w:val="22"/>
        </w:rPr>
        <w:t xml:space="preserve">Non vérifié à une source pendant cette exécution. Les dossiers législatifs DDADUE tentés sur assemblee-nationale.fr et senat.fr ont retourné 404. Repris du cadrage du 30/08/2026 : la désignation n'est pas encore publiée. En l'absence d'autorité nationale désignée, l'interlocuteur de fait d'un ESSMS reste la CNIL via son DPO.</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Impacts pour les ESSMS</w:t>
      </w:r>
    </w:p>
    <w:p>
      <w:pPr>
        <w:pStyle w:val="ListParagraph"/>
        <w:numPr>
          <w:ilvl w:val="0"/>
          <w:numId w:val="1"/>
        </w:numPr>
        <w:spacing w:after="80"/>
      </w:pPr>
      <w:r>
        <w:rPr>
          <w:rFonts w:ascii="Calibri" w:cs="Calibri" w:eastAsia="Calibri" w:hAnsi="Calibri"/>
          <w:b w:val="false"/>
          <w:bCs w:val="false"/>
          <w:color w:val="1F2937"/>
          <w:sz w:val="22"/>
          <w:szCs w:val="22"/>
        </w:rPr>
        <w:t xml:space="preserve">Position deployer, pas provider : un foyer d'hébergement qui utilise un DUI (Imago), un outil de signalement d'événements indésirables (Ageval) ou tout autre système IA tiers est en position de deployer au sens de l'EU AI Act. Les obligations du deployer (transparence envers les personnes accompagnées, évaluation des risques, documentation) sont moins lourdes que celles du provider — mais elles existent. La distinction est rappelée dans l'article IAPP du 7 octobre.</w:t>
      </w:r>
    </w:p>
    <w:p>
      <w:pPr>
        <w:pStyle w:val="ListParagraph"/>
        <w:numPr>
          <w:ilvl w:val="0"/>
          <w:numId w:val="1"/>
        </w:numPr>
        <w:spacing w:after="80"/>
      </w:pPr>
      <w:r>
        <w:rPr>
          <w:rFonts w:ascii="Calibri" w:cs="Calibri" w:eastAsia="Calibri" w:hAnsi="Calibri"/>
          <w:b w:val="false"/>
          <w:bCs w:val="false"/>
          <w:color w:val="1F2937"/>
          <w:sz w:val="22"/>
          <w:szCs w:val="22"/>
        </w:rPr>
        <w:t xml:space="preserve">Approche proportionnée (governance minimization) : l'article du 7 octobre confirme que les exigences ne sont pas uniformes. Un outil d'aide administrative appelle un niveau d'oversight différent d'un outil d'aide à la décision sur l'accompagnement. Cette hiérarchie est cohérente avec la taxonomie de risques de l'AI Act.</w:t>
      </w:r>
    </w:p>
    <w:p>
      <w:pPr>
        <w:pStyle w:val="ListParagraph"/>
        <w:numPr>
          <w:ilvl w:val="0"/>
          <w:numId w:val="1"/>
        </w:numPr>
        <w:spacing w:after="80"/>
      </w:pPr>
      <w:r>
        <w:rPr>
          <w:rFonts w:ascii="Calibri" w:cs="Calibri" w:eastAsia="Calibri" w:hAnsi="Calibri"/>
          <w:b w:val="false"/>
          <w:bCs w:val="false"/>
          <w:color w:val="1F2937"/>
          <w:sz w:val="22"/>
          <w:szCs w:val="22"/>
        </w:rPr>
        <w:t xml:space="preserve">Simplification à venir (Digital Omnibus) : les initiatives de simplification européennes visent à réduire les charges administratives pour les déployeurs. Les lignes directrices à venir pourraient alléger certaines exigences de documentation pour les petits ESSMS. À surveiller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Double conformité IA + RGPD : la CNIL rappelle la nécessité d'une conformité croisée. Pour un foyer d'hébergement, cela signifie que tout déploiement d'IA traitant des données personnelles des personnes accompagnées doit satisfaire simultanément aux deux règlements. Le DPO (ou la CNIL en son absence) reste l'interlocuteur de référence.</w:t>
      </w:r>
    </w:p>
    <w:p>
      <w:pPr>
        <w:pStyle w:val="ListParagraph"/>
        <w:numPr>
          <w:ilvl w:val="0"/>
          <w:numId w:val="1"/>
        </w:numPr>
        <w:spacing w:after="80"/>
      </w:pPr>
      <w:r>
        <w:rPr>
          <w:rFonts w:ascii="Calibri" w:cs="Calibri" w:eastAsia="Calibri" w:hAnsi="Calibri"/>
          <w:b w:val="false"/>
          <w:bCs w:val="false"/>
          <w:color w:val="1F2937"/>
          <w:sz w:val="22"/>
          <w:szCs w:val="22"/>
        </w:rPr>
        <w:t xml:space="preserve">Échéance 2 décembre 2026 : les systèmes IA qui génèrent des contenus (deepfakes, images) sont concernés par les nouvelles interdictions. Impact direct pour les ESSMS utilisant des outils de création de contenus pédagogiques ou de communication. Vérifier l'usage de tels outils avant cette date.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Sources du jour</w:t>
      </w:r>
    </w:p>
    <w:p>
      <w:pPr>
        <w:spacing w:after="80"/>
      </w:pPr>
      <w:r>
        <w:rPr>
          <w:rFonts w:ascii="Calibri" w:cs="Calibri" w:eastAsia="Calibri" w:hAnsi="Calibri"/>
          <w:b/>
          <w:bCs/>
          <w:color w:val="1F2937"/>
          <w:sz w:val="22"/>
          <w:szCs w:val="22"/>
        </w:rPr>
        <w:t xml:space="preserve">4 sources exploitées (✅), 3 consultées sans élément nouveau, 2 inaccessibles (⛔) — 9 sources tentées au total.</w:t>
      </w:r>
    </w:p>
    <w:p>
      <w:pPr>
        <w:spacing w:after="40"/>
      </w:pPr>
      <w:r>
        <w:t xml:space="preserve"/>
      </w:r>
    </w:p>
    <w:p>
      <w:pPr>
        <w:spacing w:after="80"/>
      </w:pPr>
      <w:r>
        <w:rPr>
          <w:rFonts w:ascii="Calibri" w:cs="Calibri" w:eastAsia="Calibri" w:hAnsi="Calibri"/>
          <w:b w:val="false"/>
          <w:bCs w:val="false"/>
          <w:color w:val="1F2937"/>
          <w:sz w:val="22"/>
          <w:szCs w:val="22"/>
        </w:rPr>
        <w:t xml:space="preserve">✅ 1. IAPP — Isabelle Roccia, 08/10/2026 : </w:t>
      </w:r>
      <w:hyperlink w:history="1" r:id="rId8ylasrdutzffwypyej-nq">
        <w:r>
          <w:rPr>
            <w:rFonts w:ascii="Calibri" w:cs="Calibri" w:eastAsia="Calibri" w:hAnsi="Calibri"/>
            <w:color w:val="1155CC"/>
            <w:sz w:val="22"/>
            <w:szCs w:val="22"/>
            <w:u w:val="single"/>
          </w:rPr>
          <w:t xml:space="preserve">A view from Brussels (IAPP)</w:t>
        </w:r>
      </w:hyperlink>
    </w:p>
    <w:p>
      <w:pPr>
        <w:spacing w:after="80"/>
      </w:pPr>
      <w:r>
        <w:rPr>
          <w:rFonts w:ascii="Calibri" w:cs="Calibri" w:eastAsia="Calibri" w:hAnsi="Calibri"/>
          <w:b w:val="false"/>
          <w:bCs w:val="false"/>
          <w:color w:val="1F2937"/>
          <w:sz w:val="22"/>
          <w:szCs w:val="22"/>
        </w:rPr>
        <w:t xml:space="preserve">✅ 2. IAPP — Daniel A. Zamudio Lopez, 07/10/2026 (MEMBER — intro uniquement) : </w:t>
      </w:r>
      <w:hyperlink w:history="1" r:id="rIdfapxjuu1bxilht0dkhdnz">
        <w:r>
          <w:rPr>
            <w:rFonts w:ascii="Calibri" w:cs="Calibri" w:eastAsia="Calibri" w:hAnsi="Calibri"/>
            <w:color w:val="1155CC"/>
            <w:sz w:val="22"/>
            <w:szCs w:val="22"/>
            <w:u w:val="single"/>
          </w:rPr>
          <w:t xml:space="preserve">Applying the minimization principle to AI governance (IAPP)</w:t>
        </w:r>
      </w:hyperlink>
    </w:p>
    <w:p>
      <w:pPr>
        <w:spacing w:after="80"/>
      </w:pPr>
      <w:r>
        <w:rPr>
          <w:rFonts w:ascii="Calibri" w:cs="Calibri" w:eastAsia="Calibri" w:hAnsi="Calibri"/>
          <w:b w:val="false"/>
          <w:bCs w:val="false"/>
          <w:color w:val="1F2937"/>
          <w:sz w:val="22"/>
          <w:szCs w:val="22"/>
        </w:rPr>
        <w:t xml:space="preserve">✅ 3. AI Act Service Desk — Calendrier d'implémentation : </w:t>
      </w:r>
      <w:hyperlink w:history="1" r:id="rId0pylq7mwvsj2ctq93ht9b">
        <w:r>
          <w:rPr>
            <w:rFonts w:ascii="Calibri" w:cs="Calibri" w:eastAsia="Calibri" w:hAnsi="Calibri"/>
            <w:color w:val="1155CC"/>
            <w:sz w:val="22"/>
            <w:szCs w:val="22"/>
            <w:u w:val="single"/>
          </w:rPr>
          <w:t xml:space="preserve">Timeline AI Act (Service Desk)</w:t>
        </w:r>
      </w:hyperlink>
    </w:p>
    <w:p>
      <w:pPr>
        <w:spacing w:after="80"/>
      </w:pPr>
      <w:r>
        <w:rPr>
          <w:rFonts w:ascii="Calibri" w:cs="Calibri" w:eastAsia="Calibri" w:hAnsi="Calibri"/>
          <w:b w:val="false"/>
          <w:bCs w:val="false"/>
          <w:color w:val="1F2937"/>
          <w:sz w:val="22"/>
          <w:szCs w:val="22"/>
        </w:rPr>
        <w:t xml:space="preserve">✅ 4. CNIL — Q&amp;R sur le règlement IA (mise à jour 17/08/2026) : </w:t>
      </w:r>
      <w:hyperlink w:history="1" r:id="rIdmmec4puwx4afgqrlfnqm2">
        <w:r>
          <w:rPr>
            <w:rFonts w:ascii="Calibri" w:cs="Calibri" w:eastAsia="Calibri" w:hAnsi="Calibri"/>
            <w:color w:val="1155CC"/>
            <w:sz w:val="22"/>
            <w:szCs w:val="22"/>
            <w:u w:val="single"/>
          </w:rPr>
          <w:t xml:space="preserve">CNIL Q&amp;R AI Act</w:t>
        </w:r>
      </w:hyperlink>
    </w:p>
    <w:p>
      <w:pPr>
        <w:spacing w:after="40"/>
      </w:pPr>
      <w:r>
        <w:t xml:space="preserve"/>
      </w:r>
    </w:p>
    <w:p>
      <w:pPr>
        <w:spacing w:after="80"/>
      </w:pPr>
      <w:r>
        <w:rPr>
          <w:rFonts w:ascii="Calibri" w:cs="Calibri" w:eastAsia="Calibri" w:hAnsi="Calibri"/>
          <w:b w:val="false"/>
          <w:bCs w:val="false"/>
          <w:color w:val="1F2937"/>
          <w:sz w:val="22"/>
          <w:szCs w:val="22"/>
        </w:rPr>
        <w:t xml:space="preserve">Consultée, sans élément nouveau : Commission européenne — digital-strategy.ec.europa.eu : </w:t>
      </w:r>
      <w:hyperlink w:history="1" r:id="rId4iqpe4xc3c3ruhapn7zx4">
        <w:r>
          <w:rPr>
            <w:rFonts w:ascii="Calibri" w:cs="Calibri" w:eastAsia="Calibri" w:hAnsi="Calibri"/>
            <w:color w:val="1155CC"/>
            <w:sz w:val="22"/>
            <w:szCs w:val="22"/>
            <w:u w:val="single"/>
          </w:rPr>
          <w:t xml:space="preserve">Cadre réglementaire IA (Commission)</w:t>
        </w:r>
      </w:hyperlink>
    </w:p>
    <w:p>
      <w:pPr>
        <w:spacing w:after="80"/>
      </w:pPr>
      <w:r>
        <w:rPr>
          <w:rFonts w:ascii="Calibri" w:cs="Calibri" w:eastAsia="Calibri" w:hAnsi="Calibri"/>
          <w:b w:val="false"/>
          <w:bCs w:val="false"/>
          <w:color w:val="1F2937"/>
          <w:sz w:val="22"/>
          <w:szCs w:val="22"/>
        </w:rPr>
        <w:t xml:space="preserve">Consultée, sans élément nouveau : Future of Life Institute — artificialintelligenceact.eu (16 208 car. de texte) : </w:t>
      </w:r>
      <w:hyperlink w:history="1" r:id="rIdnqrc6cuq7gh31rzpujgat">
        <w:r>
          <w:rPr>
            <w:rFonts w:ascii="Calibri" w:cs="Calibri" w:eastAsia="Calibri" w:hAnsi="Calibri"/>
            <w:color w:val="1155CC"/>
            <w:sz w:val="22"/>
            <w:szCs w:val="22"/>
            <w:u w:val="single"/>
          </w:rPr>
          <w:t xml:space="preserve">AI Act (FLI)</w:t>
        </w:r>
      </w:hyperlink>
    </w:p>
    <w:p>
      <w:pPr>
        <w:spacing w:after="80"/>
      </w:pPr>
      <w:r>
        <w:rPr>
          <w:rFonts w:ascii="Calibri" w:cs="Calibri" w:eastAsia="Calibri" w:hAnsi="Calibri"/>
          <w:b w:val="false"/>
          <w:bCs w:val="false"/>
          <w:color w:val="1F2937"/>
          <w:sz w:val="22"/>
          <w:szCs w:val="22"/>
        </w:rPr>
        <w:t xml:space="preserve">Consultée, sans élément nouveau : CNIL — Intelligence artificielle : </w:t>
      </w:r>
      <w:hyperlink w:history="1" r:id="rIddfazrb2xz1k2iihz6ereb">
        <w:r>
          <w:rPr>
            <w:rFonts w:ascii="Calibri" w:cs="Calibri" w:eastAsia="Calibri" w:hAnsi="Calibri"/>
            <w:color w:val="1155CC"/>
            <w:sz w:val="22"/>
            <w:szCs w:val="22"/>
            <w:u w:val="single"/>
          </w:rPr>
          <w:t xml:space="preserve">CNIL IA</w:t>
        </w:r>
      </w:hyperlink>
    </w:p>
    <w:p>
      <w:pPr>
        <w:spacing w:after="40"/>
      </w:pPr>
      <w:r>
        <w:t xml:space="preserve"/>
      </w:r>
    </w:p>
    <w:p>
      <w:pPr>
        <w:spacing w:after="80"/>
      </w:pPr>
      <w:r>
        <w:rPr>
          <w:rFonts w:ascii="Calibri" w:cs="Calibri" w:eastAsia="Calibri" w:hAnsi="Calibri"/>
          <w:b w:val="false"/>
          <w:bCs w:val="false"/>
          <w:color w:val="1F2937"/>
          <w:sz w:val="22"/>
          <w:szCs w:val="22"/>
        </w:rPr>
        <w:t xml:space="preserve">⛔ Conseil de l'UE — inaccessible (Cloudflare 403) : </w:t>
      </w:r>
      <w:hyperlink w:history="1" r:id="rId7uq-ez9-k7ujq2iaut6ap">
        <w:r>
          <w:rPr>
            <w:rFonts w:ascii="Calibri" w:cs="Calibri" w:eastAsia="Calibri" w:hAnsi="Calibri"/>
            <w:color w:val="1155CC"/>
            <w:sz w:val="22"/>
            <w:szCs w:val="22"/>
            <w:u w:val="single"/>
          </w:rPr>
          <w:t xml:space="preserve">Communiqués de presse (Conseil UE)</w:t>
        </w:r>
      </w:hyperlink>
    </w:p>
    <w:p>
      <w:pPr>
        <w:spacing w:after="80"/>
      </w:pPr>
      <w:r>
        <w:rPr>
          <w:rFonts w:ascii="Calibri" w:cs="Calibri" w:eastAsia="Calibri" w:hAnsi="Calibri"/>
          <w:b w:val="false"/>
          <w:bCs w:val="false"/>
          <w:color w:val="1F2937"/>
          <w:sz w:val="22"/>
          <w:szCs w:val="22"/>
        </w:rPr>
        <w:t xml:space="preserve">⛔ EUR-Lex — inaccessible (SPA JavaScript, retour vide) : </w:t>
      </w:r>
      <w:hyperlink w:history="1" r:id="rIdelcbtx2ussf8--zchj6kh">
        <w:r>
          <w:rPr>
            <w:rFonts w:ascii="Calibri" w:cs="Calibri" w:eastAsia="Calibri" w:hAnsi="Calibri"/>
            <w:color w:val="1155CC"/>
            <w:sz w:val="22"/>
            <w:szCs w:val="22"/>
            <w:u w:val="single"/>
          </w:rPr>
          <w:t xml:space="preserve">EUR-Lex</w:t>
        </w:r>
      </w:hyperlink>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À surveiller</w:t>
      </w:r>
    </w:p>
    <w:p>
      <w:pPr>
        <w:pStyle w:val="ListParagraph"/>
        <w:numPr>
          <w:ilvl w:val="0"/>
          <w:numId w:val="1"/>
        </w:numPr>
        <w:spacing w:after="80"/>
      </w:pPr>
      <w:r>
        <w:rPr>
          <w:rFonts w:ascii="Calibri" w:cs="Calibri" w:eastAsia="Calibri" w:hAnsi="Calibri"/>
          <w:b w:val="false"/>
          <w:bCs w:val="false"/>
          <w:color w:val="1F2937"/>
          <w:sz w:val="22"/>
          <w:szCs w:val="22"/>
        </w:rPr>
        <w:t xml:space="preserve">Désignation des autorités nationales françaises (IA) : dossier DDADUE en navette législative — non vérifié lors de cette exécution. À rerouter vers legifrance.gouv.fr à la prochaine édition.</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2026 : fin de la période transitoire pour les systèmes génératifs et entrée en vigueur des interdictions deepfakes/CSAM. Moins de 2 mois.</w:t>
      </w:r>
    </w:p>
    <w:p>
      <w:pPr>
        <w:pStyle w:val="ListParagraph"/>
        <w:numPr>
          <w:ilvl w:val="0"/>
          <w:numId w:val="1"/>
        </w:numPr>
        <w:spacing w:after="80"/>
      </w:pPr>
      <w:r>
        <w:rPr>
          <w:rFonts w:ascii="Calibri" w:cs="Calibri" w:eastAsia="Calibri" w:hAnsi="Calibri"/>
          <w:b w:val="false"/>
          <w:bCs w:val="false"/>
          <w:color w:val="1F2937"/>
          <w:sz w:val="22"/>
          <w:szCs w:val="22"/>
        </w:rPr>
        <w:t xml:space="preserve">Lignes directrices de la Commission sur les déployeurs (attendues) : suite aux initiatives Digital Omnibus, des orientations pratiques pour les petits déployeurs sont possibles d'ici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IAPP — corps de l'article "Applying the minimization principle" (MEMBER) : si accès disponible, compléter la lecture des recommandations pratiques pour la gouvernance IA par niveau de risque.</w:t>
      </w:r>
    </w:p>
    <w:p>
      <w:pPr>
        <w:pStyle w:val="ListParagraph"/>
        <w:numPr>
          <w:ilvl w:val="0"/>
          <w:numId w:val="1"/>
        </w:numPr>
        <w:spacing w:after="80"/>
      </w:pPr>
      <w:r>
        <w:rPr>
          <w:rFonts w:ascii="Calibri" w:cs="Calibri" w:eastAsia="Calibri" w:hAnsi="Calibri"/>
          <w:b w:val="false"/>
          <w:bCs w:val="false"/>
          <w:color w:val="1F2937"/>
          <w:sz w:val="22"/>
          <w:szCs w:val="22"/>
        </w:rPr>
        <w:t xml:space="preserve">FRIA (Fundamental Rights Impact Assessment) : sujet émergent sur l'IAPP (article du 1er octobre 2026 "The FRIA is coming", hors fenêtre du jour). À couvrir lors d'une prochaine édition.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0gxkat1wptthzde5ke-a" Type="http://schemas.openxmlformats.org/officeDocument/2006/relationships/hyperlink" Target="https://ai-act-service-desk.ec.europa.eu/en/ai-act/timeline/timeline-implementation-eu-ai-act" TargetMode="External"/><Relationship Id="rIdnose_7ihgsakoxixomedb" Type="http://schemas.openxmlformats.org/officeDocument/2006/relationships/hyperlink" Target="https://digital-strategy.ec.europa.eu/en/policies/regulatory-framework-ai" TargetMode="External"/><Relationship Id="rIdj23txth8kbkso32bir5kl" Type="http://schemas.openxmlformats.org/officeDocument/2006/relationships/hyperlink" Target="https://iapp.org/news/a/a-view-from-brussels-short-of-convergence-can-predictability-and-coherence-save-the-day" TargetMode="External"/><Relationship Id="rIdz5zion4ooansq2mwxndda" Type="http://schemas.openxmlformats.org/officeDocument/2006/relationships/hyperlink" Target="https://iapp.org/news/a/applying-the-minimization-principle-to-ai-governance" TargetMode="External"/><Relationship Id="rIdx7c4spkxqwbmwo0n6mt25" Type="http://schemas.openxmlformats.org/officeDocument/2006/relationships/hyperlink" Target="https://artificialintelligenceact.eu" TargetMode="External"/><Relationship Id="rId8ylasrdutzffwypyej-nq" Type="http://schemas.openxmlformats.org/officeDocument/2006/relationships/hyperlink" Target="https://iapp.org/news/a/a-view-from-brussels-short-of-convergence-can-predictability-and-coherence-save-the-day" TargetMode="External"/><Relationship Id="rIdfapxjuu1bxilht0dkhdnz" Type="http://schemas.openxmlformats.org/officeDocument/2006/relationships/hyperlink" Target="https://iapp.org/news/a/applying-the-minimization-principle-to-ai-governance" TargetMode="External"/><Relationship Id="rId0pylq7mwvsj2ctq93ht9b" Type="http://schemas.openxmlformats.org/officeDocument/2006/relationships/hyperlink" Target="https://ai-act-service-desk.ec.europa.eu/en/ai-act/timeline/timeline-implementation-eu-ai-act" TargetMode="External"/><Relationship Id="rIdmmec4puwx4afgqrlfnqm2" Type="http://schemas.openxmlformats.org/officeDocument/2006/relationships/hyperlink" Target="https://www.cnil.fr/fr/entree-en-vigueur-du-reglement-europeen-sur-lia-les-premieres-questions-reponses-de-la-cnil" TargetMode="External"/><Relationship Id="rId4iqpe4xc3c3ruhapn7zx4" Type="http://schemas.openxmlformats.org/officeDocument/2006/relationships/hyperlink" Target="https://digital-strategy.ec.europa.eu/en/policies/regulatory-framework-ai" TargetMode="External"/><Relationship Id="rIdnqrc6cuq7gh31rzpujgat" Type="http://schemas.openxmlformats.org/officeDocument/2006/relationships/hyperlink" Target="https://artificialintelligenceact.eu" TargetMode="External"/><Relationship Id="rIddfazrb2xz1k2iihz6ereb" Type="http://schemas.openxmlformats.org/officeDocument/2006/relationships/hyperlink" Target="https://www.cnil.fr/fr/intelligence-artificielle" TargetMode="External"/><Relationship Id="rId7uq-ez9-k7ujq2iaut6ap" Type="http://schemas.openxmlformats.org/officeDocument/2006/relationships/hyperlink" Target="https://www.consilium.europa.eu/en/press/press-releases/" TargetMode="External"/><Relationship Id="rIdelcbtx2ussf8--zchj6kh" Type="http://schemas.openxmlformats.org/officeDocument/2006/relationships/hyperlink" Target="https://eur-lex.europa.eu/"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2026-10-09T07:15:14.283Z</dcterms:created>
  <dcterms:modified xsi:type="dcterms:W3CDTF">2026-10-09T07:15:14.284Z</dcterms:modified>
</cp:coreProperties>
</file>

<file path=docProps/custom.xml><?xml version="1.0" encoding="utf-8"?>
<Properties xmlns="http://schemas.openxmlformats.org/officeDocument/2006/custom-properties" xmlns:vt="http://schemas.openxmlformats.org/officeDocument/2006/docPropsVTypes"/>
</file>