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6B"/>
          <w:sz w:val="56"/>
          <w:szCs w:val="56"/>
        </w:rPr>
        <w:t xml:space="preserve">Veille AI Act — Compte-rendu quotidien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F2937"/>
          <w:sz w:val="24"/>
          <w:szCs w:val="24"/>
        </w:rPr>
        <w:t xml:space="preserve">11 juin 2026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97706"/>
          <w:sz w:val="26"/>
          <w:szCs w:val="26"/>
        </w:rPr>
        <w:t xml:space="preserve">Niveau d'alerte : 🟡 À surveiller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Sources accessibles : 5/7  |  Mode : CR Complet</w:t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Faits marquants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Code of Practice sur le marquage des contenus IA générés publié par la Commission européenne le 10 juin 2026 (Article 50 AI Act — transparence et divulgation des deepfakes).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Experts indépendants mobilisés pour renforcer l'enforcement de l'AI Act dans les États membres (Commission, 1er juin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Digital Omnibus on AI (accord provisoire 7 mai 2026) : report de 16 mois des obligations HRAIS — systèmes à haut risque stand-alone désormais applicables au 2 décembre 2027 au lieu d'août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AIGG Europe 2026 (Dublin) : l'Europe affirme sa souveraineté IA et le secteur bascule de la discussion politique vers l'implémentation concrète — « La loi est là, le vrai travail commence » (IAPP, 10 juin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Alerte IA &amp; RGPD : les systèmes agentiques autonomes créent des lacunes de conformité ; l'anonymisation traditionnelle est remise en cause par les capacités de l'IA (IAPP, 10 juin 2026).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Échéances réglementaires à venir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⚡ 2 août 2026 (dans 52 jours) — Application générale de l'AI Act : obligations de transparence (Art. 50), mécanismes d'enforcement, sandboxes réglementaires, AI Office opérationnel. Date critique.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2026 — Marquage obligatoire des contenus synthétiques (images, sons, deepfakes) — deadline reportée depuis le 2 août 2026 via le Digital Omnibus.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décembre 2027 — Application des règles pour les systèmes IA à haut risque « stand-alone » (reporté de 16 mois par le Digital Omnibus).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2 août 2028 — Application pour les systèmes IA à haut risque intégrés dans des produits réglementés (équipements médicaux, etc.).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🏛️ Actualité officielle 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Commission européenne :</w:t>
      </w:r>
    </w:p>
    <w:p>
      <w:pPr>
        <w:spacing w:after="80"/>
      </w:pPr>
      <w:hyperlink w:history="1" r:id="rIdrl8nhniot8bvt2elwxtg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Commission publishes Code of Practice on marking and labelling AI-generated content (10 juin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Outil de conformité volontaire guidant les fournisseurs sur leurs obligations de transparence (Article 50), incluant divulgation des images, sons et deepfakes générés par IA.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flty-kitx4nukyycpys3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AI Act enforcement gets independent expert support (1er juin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Des experts indépendants sont mobilisés pour renforcer les mécanismes d'application dans les États membres.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261tlok2e_wic718sl87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Consultation publique — Draft guidelines classification systèmes IA haut risque (19 mai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Commission a ouvert une consultation publique sur les lignes directrices de classification des systèmes IA à haut risque.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Conseil de l'Union européenne :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Accès direct bloqué (403) — données récupérées via WebSearch.</w:t>
      </w:r>
    </w:p>
    <w:p>
      <w:pPr>
        <w:spacing w:after="80"/>
      </w:pPr>
      <w:hyperlink w:history="1" r:id="rId2dmimj0ldefgllq2qp6by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Digital Omnibus on AI : accord Conseil &amp; Parlement — simplification et report des règles (7 mai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Premiers amendements à l'AI Act depuis juin 2024 : report des deadlines HRAIS, nouvelles interdictions (CSAM, deepfakes intimes non consentis), clarification des compétences de l'AI Office.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AI Act Service Desk — Timeline :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 évaluation (juin 2026) : la Commission doit évaluer si les pouvoirs de l'AI Office sont suffisants et si des ressources supplémentaires sont nécessaires. Code of Practice contenus synthétiques finalisé le 10 juin.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📰 Analyses &amp; gouvernance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artificialintelligenceact.eu :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Rendu JS partiel — données récupérées via WebSearch.</w:t>
      </w:r>
    </w:p>
    <w:p>
      <w:pPr>
        <w:spacing w:after="80"/>
      </w:pPr>
      <w:hyperlink w:history="1" r:id="rIdes0d-zf84wz1ra3wthpi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The EU AI Act's Transparency Rules: A Practical Guide to Article 50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pratique sur les obligations de transparence (Article 50) : exigences de marquage et divulgation pour les systèmes IA générant du contenu synthétique.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bxkk4gdik7zm0dxjwskgz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Enforcement of Chapter V under the EU AI Act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Analyse des mécanismes d'enforcement (Chapitre V) : rôles des autorités nationales de surveillance et de l'AI Office.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IAPP — Gouvernance IA :</w:t>
      </w:r>
    </w:p>
    <w:p>
      <w:pPr>
        <w:spacing w:after="80"/>
      </w:pPr>
      <w:hyperlink w:history="1" r:id="rId26fdtyrngyopgvq2ov--o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Notes from the AI Governance Center: Key Issues at AIGG Europe 2026 (10 juin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L'Europe affirme une souveraineté IA comme choix démocratique. Le secteur bascule de la discussion politique à l'implémentation concrète : « La loi est là, le vrai travail commence ».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ggvx92hbf4-jxzekwnysw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In These Changing Times, Anonymization Cannot Keep Up with AI (10 juin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capacités de l'IA remettent en cause les garanties traditionnelles d'anonymisation sous le RGPD. Plaidoyer pour une gouvernance fondée sur des principes plutôt que des hypothèses technologiques.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gsyke03bnmuo9d6fw1oec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Privacy Governance Was Not Built for Agents: Rethinking Data Protection for Autonomous Systems (10 juin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agents IA autonomes opérant sur de multiples sources créent des lacunes de conformité RGPD. L'article préconise une « visibilité en temps réel » et des mécanismes de gouvernance lisibles par machine.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🇫🇷 Perspective française (CNIL/RGPD)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Aucune publication CNIL détectée entre le 4 et le 11 juin 2026.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bzdjfp7ypc6h0k4rrhyou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générative et vie privée : affiche coproduite PIPC-CNIL (27 mai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CNIL et l'autorité coréenne (PIPC) publient un outil de sensibilisation sur la protection des données lors de l'usage d'IA générative.</w:t>
      </w:r>
    </w:p>
    <w:p>
      <w:pPr>
        <w:spacing w:after="120"/>
      </w:pPr>
      <w:r>
        <w:t xml:space="preserve"/>
      </w:r>
    </w:p>
    <w:p>
      <w:pPr>
        <w:spacing w:after="80"/>
      </w:pPr>
      <w:hyperlink w:history="1" r:id="rIdgdvbfyl85h7akqjvww835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IA conversationnelle et santé mentale des jeunes : résultats de l'enquête européenne (5 mai 2026)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 jeunes sur 10 en France utilisent une IA conversationnelle ; près de la moitié abordent des sujets de santé mentale sensibles avec des chatbots.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Impacts pour les ESSMS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Article 50 / marquage contenus IA : si le foyer utilise des outils IA générant des rapports, des courriers ou des supports d'information pour les personnes accompagnées, une obligation de transparence et de marquage s'appliquera dès le 2 décembre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DUI et systèmes d'aide à la décision : les outils IA d'analyse du dossier usager (cotation, prédiction de comportement, aide à l'évaluation) doivent être identifiés et classifiés (haut risque ? interdit ?). Préparer la documentation de conformité avant le 2 août 2026.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Agents IA &amp; RGPD : la montée en puissance des agents IA autonomes pose un défi spécifique sur les données de santé (Article 9 RGPD). Toute délégation de traitement à un agent IA doit être encadrée par une AIPD (DPIA).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Anonymisation remise en cause : les techniques d'anonymisation habituellement utilisées pour les statistiques ou rapports d'activité ne sont plus suffisantes face aux capacités de ré-identification des IA modernes — à signaler au DPO.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Transparency by design : former les équipes à mentionner l'usage d'outils IA lors des échanges avec les personnes accompagnées (principe de transparence, droit à l'information, consentement éclairé).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Sandboxes réglementaires (2 août 2026) : les ESSMS innovants pourront solliciter un accès aux espaces d'expérimentation IA supervisés par les autorités nationales.</w:t>
      </w:r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📚 Sources du jour</w:t>
      </w:r>
    </w:p>
    <w:p>
      <w:pPr>
        <w:spacing w:after="80"/>
      </w:pPr>
      <w:hyperlink w:history="1" r:id="rIdfh4ekfw3loki1mdf5vicp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1. Commission européenne — Cadre réglementaire AI</w:t>
        </w:r>
      </w:hyperlink>
    </w:p>
    <w:p>
      <w:pPr>
        <w:spacing w:after="80"/>
      </w:pPr>
      <w:hyperlink w:history="1" r:id="rId96mli8kjgv3hstpskysba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2. AI Act Service Desk — Timeline d'implémentation</w:t>
        </w:r>
      </w:hyperlink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⛔ 3. Conseil de l'UE — Press releases (403, fallback WebSearch)</w:t>
      </w:r>
    </w:p>
    <w:p>
      <w:pPr>
        <w:spacing w:after="80"/>
      </w:pPr>
      <w:hyperlink w:history="1" r:id="rIdcoacnl5hntu42jrozjps9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⛔ 4. artificialintelligenceact.eu (rendu JS, fallback WebSearch)</w:t>
        </w:r>
      </w:hyperlink>
    </w:p>
    <w:p>
      <w:pPr>
        <w:spacing w:after="80"/>
      </w:pPr>
      <w:hyperlink w:history="1" r:id="rIdhkvoaruzgm9vuu1oxubqm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5. artificialintelligenceact.eu — Implementation timeline</w:t>
        </w:r>
      </w:hyperlink>
    </w:p>
    <w:p>
      <w:pPr>
        <w:spacing w:after="80"/>
      </w:pPr>
      <w:hyperlink w:history="1" r:id="rIdtq05hsfyqfobksby7tlmg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6. IAPP News</w:t>
        </w:r>
      </w:hyperlink>
    </w:p>
    <w:p>
      <w:pPr>
        <w:spacing w:after="80"/>
      </w:pPr>
      <w:hyperlink w:history="1" r:id="rIdoejbzv43n_sehnpnhcs58">
        <w:r>
          <w:rPr>
            <w:rFonts w:ascii="Calibri" w:cs="Calibri" w:eastAsia="Calibri" w:hAnsi="Calibri"/>
            <w:color w:val="1155CC"/>
            <w:sz w:val="22"/>
            <w:szCs w:val="22"/>
            <w:u w:val="single"/>
          </w:rPr>
          <w:t xml:space="preserve">✅ 7. CNIL — Intelligence artificielle</w:t>
        </w:r>
      </w:hyperlink>
    </w:p>
    <w:p>
      <w:pPr>
        <w:spacing w:after="120"/>
      </w:pPr>
      <w:r>
        <w:t xml:space="preserve"/>
      </w:r>
    </w:p>
    <w:p>
      <w:pPr>
        <w:spacing w:after="120" w:before="30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🔜 À surveiller demain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⚡ J-52 avant le 2 août 2026 : vérifier la publication de nouvelles guidelines de la Commission sur la classification HRAIS (consultation close mai 2026 → résultats attendus juin/juillet).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Ratification formelle du Digital Omnibus on AI par le Parlement européen (accord provisoire du 7 mai — vote en plénière attendu avant l'été 2026).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Mise à jour de la timeline officielle AI Act Service Desk post-Digital Omnibus.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Nouvelles publications CNIL sur l'IA (absence notable cette semaine — possible publication en semaine 25).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Résultats de l'évaluation Commission sur les pouvoirs de l'AI Office (prévue juin 2026).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l8nhniot8bvt2elwxtgu" Type="http://schemas.openxmlformats.org/officeDocument/2006/relationships/hyperlink" Target="https://digital-strategy.ec.europa.eu/en/news/commission-publishes-code-practice-marking-and-labelling-ai-generated-content" TargetMode="External"/><Relationship Id="rIdflty-kitx4nukyycpys3a" Type="http://schemas.openxmlformats.org/officeDocument/2006/relationships/hyperlink" Target="https://digital-strategy.ec.europa.eu/en/news/ai-act-enforcement-gets-independent-expert-support" TargetMode="External"/><Relationship Id="rId261tlok2e_wic718sl87z" Type="http://schemas.openxmlformats.org/officeDocument/2006/relationships/hyperlink" Target="https://digital-strategy.ec.europa.eu/en/news/commission-seeks-feedback-draft-guidelines-classification-high-risk-artificial-intelligence-systems" TargetMode="External"/><Relationship Id="rId2dmimj0ldefgllq2qp6by" Type="http://schemas.openxmlformats.org/officeDocument/2006/relationships/hyperlink" Target="https://www.consilium.europa.eu/en/press/press-releases/2026/05/07/artificial-intelligence-council-and-parliament-agree-to-simplify-and-streamline-rules/" TargetMode="External"/><Relationship Id="rIdes0d-zf84wz1ra3wthpi9" Type="http://schemas.openxmlformats.org/officeDocument/2006/relationships/hyperlink" Target="https://artificialintelligenceact.eu/transparency-rules-article-50/" TargetMode="External"/><Relationship Id="rIdbxkk4gdik7zm0dxjwskgz" Type="http://schemas.openxmlformats.org/officeDocument/2006/relationships/hyperlink" Target="https://artificialintelligenceact.eu/enforcement-of-chapter-v-under-the-eu-ai-act/" TargetMode="External"/><Relationship Id="rId26fdtyrngyopgvq2ov--o" Type="http://schemas.openxmlformats.org/officeDocument/2006/relationships/hyperlink" Target="https://iapp.org/news/a/notes-from-the-ai-governance-center-the-key-ai-governance-issues-tackled-at-aigg-europe-2026" TargetMode="External"/><Relationship Id="rIdggvx92hbf4-jxzekwnysw" Type="http://schemas.openxmlformats.org/officeDocument/2006/relationships/hyperlink" Target="https://iapp.org/news/a/in-these-changing-times-anonymization-cannot-keep-up-with-ai" TargetMode="External"/><Relationship Id="rIdgsyke03bnmuo9d6fw1oec" Type="http://schemas.openxmlformats.org/officeDocument/2006/relationships/hyperlink" Target="https://iapp.org/news/a/privacy-governance-was-not-built-for-agents-rethinking-data-protection-for-autonomous-systems" TargetMode="External"/><Relationship Id="rIdbzdjfp7ypc6h0k4rrhyou" Type="http://schemas.openxmlformats.org/officeDocument/2006/relationships/hyperlink" Target="https://www.cnil.fr/fr/ia-generative-et-vie-privee-affiche-coproduite-pipc-cnil" TargetMode="External"/><Relationship Id="rIdgdvbfyl85h7akqjvww835" Type="http://schemas.openxmlformats.org/officeDocument/2006/relationships/hyperlink" Target="https://www.cnil.fr/fr/ia-conversationnelle-et-sante-mentale-des-jeunes-resultats-de-lenquete-europeenne" TargetMode="External"/><Relationship Id="rIdfh4ekfw3loki1mdf5vicp" Type="http://schemas.openxmlformats.org/officeDocument/2006/relationships/hyperlink" Target="https://digital-strategy.ec.europa.eu/en/policies/regulatory-framework-ai" TargetMode="External"/><Relationship Id="rId96mli8kjgv3hstpskysba" Type="http://schemas.openxmlformats.org/officeDocument/2006/relationships/hyperlink" Target="https://ai-act-service-desk.ec.europa.eu/en/ai-act/timeline/timeline-implementation-eu-ai-act" TargetMode="External"/><Relationship Id="rIdcoacnl5hntu42jrozjps9" Type="http://schemas.openxmlformats.org/officeDocument/2006/relationships/hyperlink" Target="https://artificialintelligenceact.eu/" TargetMode="External"/><Relationship Id="rIdhkvoaruzgm9vuu1oxubqm" Type="http://schemas.openxmlformats.org/officeDocument/2006/relationships/hyperlink" Target="https://artificialintelligenceact.eu/implementation-timeline/" TargetMode="External"/><Relationship Id="rIdtq05hsfyqfobksby7tlmg" Type="http://schemas.openxmlformats.org/officeDocument/2006/relationships/hyperlink" Target="https://iapp.org/news/" TargetMode="External"/><Relationship Id="rIdoejbzv43n_sehnpnhcs58" Type="http://schemas.openxmlformats.org/officeDocument/2006/relationships/hyperlink" Target="https://www.cnil.fr/fr/intelligence-artificielle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2026-06-11T05:07:24.781Z</dcterms:created>
  <dcterms:modified xsi:type="dcterms:W3CDTF">2026-06-11T05:07:24.782Z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