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12 juin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06000"/>
          <w:sz w:val="24"/>
          <w:szCs w:val="24"/>
        </w:rPr>
        <w:t xml:space="preserve">Niveau d'alerte : 🟡 À surveiller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accessibles : 5/7 | Mode : CR Complet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[NOUVEAU] CADA — Cloud and Artificial Intelligence Development Act (IAPP, 11 juin 2026) : proposition UE établissant 4 niveaux de souveraineté pour le cloud et l'IA. Conséquences de conformité et de gouvernance importantes pour les organisations.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[NOUVEAU] Critique du CADA (IAPP, 11 juin 2026) : « Grande ambition, fondations fragiles » — le cadre à 4 niveaux risque de rester une « élégante architecture sans bâtiment » sans investissement cloud européen suffisant.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of Practice sur le marquage des contenus IA générés publié par la Commission européenne le 10 juin 2026 (Article 50 AI Act — transparence, deepfakes, chatbots).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Experts indépendants mobilisés pour renforcer l'enforcement de l'AI Act dans les États membres (Commission, 1er juin 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Digital Omnibus on AI (accord provisoire 7 mai 2026) : simplification des règles, report de 16 mois pour les systèmes à haut risque stand-alone (nouvelle deadline : 2 décembre 2027).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⚡ 2 août 2026 (dans 51 jours) — Application générale de l'AI Act : transparence (Art. 50), mécanismes d'enforcement, sandboxes réglementaires, AI Office opérationnel. DATE CRITIQUE.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— Marquage obligatoire des contenus synthétiques (images, sons, deepfakes) — deadline reportée via le Digital Omnibus.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2027 — Application pour les systèmes IA à haut risque « stand-alone » (reporté de 16 mois par le Digital Omnibus, ex-août 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2027 — Plein déploiement du AI Act : sandboxes réglementaires + ensemble des règles.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2028 — Application pour les systèmes IA intégrés dans des produits réglementés (équipements médicaux, dispositifs de sécurité…).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fdvymcmpu3kpf_lszb1c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publishes Code of Practice on marking and labelling AI-generated content (10 juin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volontaire guidant fournisseurs et déployeurs sur les obligations de transparence (Art. 50) : marquage deepfakes, textes IA sur sujets d'intérêt public, interactions chatbots.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kfggtguhwve-uebzieab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enforcement gets independent expert support (1er juin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Des experts indépendants renforcent les mécanismes d'application dans les États membres.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s7bqej_d_iqtkvwssgqo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Consultation publique — Draft guidelines classification systèmes IA haut risque (19 mai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La Commission sollicite les commentaires du public sur les lignes directrices de classification des systèmes IA à haut risque.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Conseil de l'Union européenne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Accès direct bloqué (403) — données récupérées via WebSearch.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qtb5fw4eacobmkodiefh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 Omnibus on AI : accord Conseil &amp; Parlement — simplification et report des règles (7 mai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Premiers amendements à l'AI Act depuis juin 2024 : report des deadlines HRAIS, nouvelles interdictions (CSAM, deepfakes intimes non consentis), simplification des obligations, report sandbox au 2 août 2027.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Act Service Desk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mdri_o-v5zsvoksgv9t0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Timeline d'implémentation de l'EU AI Act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Calendrier officiel : 2 août 2026 = obligation de transparence + enforcement ; 2 août 2027 = pleine application.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IAPP — Gouvernance IA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wt_47er6vtqvvgwwgp3c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 view from Brussels: Why the CADA sovereignty proposal deserves attention (11 juin 2026) [NOUVEAU]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Le Cloud and Artificial Intelligence Development Act (CADA) de l'UE propose 4 niveaux de souveraineté cloud/IA avec des "conséquences de conformité et de gouvernance considérables" pour les organisations gérant transferts de données et relations fournisseurs.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jw18cnpumq9x34ni1uxl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Europe's Cloud and AI Development Act: Grand ambition, fragile foundations (11 juin 2026) [NOUVEAU]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Le cadre CADA établit 4 niveaux de souveraineté mais risque de devenir une "élégante architecture sans bâtiment" sans investissement suffisant dans l'infrastructure cloud européenne.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pfjahykjytfbk3vjqgyc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Notes from the AI Governance Center: Key AI governance issues at AIGG Europe 2026 (10 juin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Dublin : "La gouvernance IA est désormais en cours d'implémentation" — le secteur bascule de la discussion politique à l'implémentation concrète ; les organisations doivent distribuer les pratiques de gouvernance aussi rapidement que l'adoption de l'IA.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artificialintelligenceact.eu (Future of Life Institute)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Rendu JS partiel — données récupérées via WebSearch.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tjxfxlzhncduteop5ago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Enforcement of Chapter V under the EU AI Act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Analyse des mécanismes d'enforcement : rôles des autorités nationales et de l'AI Office.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3rjpel6zv_etqskggxch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Implementation Timeline — AI Act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Calendrier détaillé : 2 août 2026 (application générale) → 2 août 2027 (déploiement complet). Mise à jour post-Digital Omnibus.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(CNIL/RGPD)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slblcw5nsoy_xvpn0ukd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: affiche coproduite PIPC-CNIL (27 mai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de sensibilisation sur la protection des données lors de l'usage d'IA générative, coconstruit avec l'autorité coréenne.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kb8gfzq7nqg9w4low0ik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: résultats de l'enquête européenne (5 mai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9 jeunes sur 10 en France utilisent une IA conversationnelle ; enjeux de protection des données sensibles et d'impact psychologique documentés.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dswyt4vr4_hdj0fdqfeq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PANAME — Outil d'audit RGPD des modèles d'IA (26 février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Initiative CNIL-ANSSI-PEReN-Inria : outil d'audit évaluant la conformité RGPD des modèles IA. Pertinent pour les ESSMS utilisant des LLM ou outils IA sur données personnelles.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Aucune nouvelle publication CNIL détectée depuis le 11 juin 2026.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CADA &amp; souveraineté IA : si l'ESSMS utilise des outils IA hébergés hors UE (ChatGPT, Copilot, solutions cloud US), le futur cadre CADA imposera des exigences de souveraineté. Anticiper les clauses contractuelles avec les prestataires cloud/IA.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Article 50 / marquage contenus IA : tout outil IA générant des rapports, courriers ou supports d'information pour les personnes accompagnées sera soumis à l'obligation de transparence dès le 2 décembre 2026. Identifier dès maintenant les outils concernés.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DUI et systèmes d'aide à la décision : les outils d'analyse du dossier usager (cotation, prédiction de comportement, aide à l'évaluation) doivent être classifiés (haut risque ?). La consultation publique sur les guidelines de classification (19 mai 2026) est l'occasion de se positionner.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Deadline 2 août 2026 (51 jours) : vérifier que tout système IA utilisé dans l'établissement est inventorié. Préparer la documentation de conformité avant cette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Digital Omnibus — report HRAIS : le report au 2 décembre 2027 pour les systèmes à haut risque stand-alone donne un délai supplémentaire, mais ne dispense pas de l'inventaire et de la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Projet PANAME (CNIL) : si l'ESSMS utilise des modèles IA sur données personnelles (DUI, dossiers de santé), participer aux tests de l'outil d'audit RGPD pour anticiper la conformité.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consultées (statut ✅/⛔) :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d61tmh0f2zzcab8ig5nk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1. Commission européenne — Regulatory Framework AI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2. AI Act Service Desk — Timeline (JS rendering partiel, WebSearch exploité)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3. Conseil UE — Communiqués de presse (403, WebSearch exploité)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4. artificialintelligenceact.eu — Analyses (JS rendering, WebSearch exploité)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5. artificialintelligenceact.eu — Implementation Timeline (JS rendering, WebSearch exploité)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vqogpqh3ierkbzja19lw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6. IAPP — News (gouvernance IA mondiale, EU AI Act)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cpjlfsktcttsrorpkw3w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7. CNIL — Intelligence artificielle</w:t>
        </w:r>
      </w:hyperlink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Suivi du CADA (Cloud and AI Development Act) : premières réactions du secteur tech/cloud européen, positions des États membres, calendrier législatif prévu.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of Practice marquage IA : publications de guides d'implémentation pratiques (à partir du 2 décembre 2026 — 173 jours).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Consultation guidelines classification systèmes haut risque (Commission, 19 mai 2026) : date de clôture et premières synthèses des contributions.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Office : premières décisions d'enforcement post-2 août 2026 — organisations et secteurs visés.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CNIL : publication attendue d'un référentiel IA pour le secteur santé/médico-social (non encore paru).</w:t>
      </w:r>
    </w:p>
    <w:p>
      <w:pPr>
        <w:spacing w:after="8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Produit le 12 juin 2026 | Sources : 5/7 accessibles | Mode : CR Complet | Niveau d'alerte : 🟡 À surveiller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vymcmpu3kpf_lszb1cx" Type="http://schemas.openxmlformats.org/officeDocument/2006/relationships/hyperlink" Target="https://digital-strategy.ec.europa.eu/en/policies/regulatory-framework-ai" TargetMode="External"/><Relationship Id="rIdkfggtguhwve-uebzieab5" Type="http://schemas.openxmlformats.org/officeDocument/2006/relationships/hyperlink" Target="https://digital-strategy.ec.europa.eu/en/policies/regulatory-framework-ai" TargetMode="External"/><Relationship Id="rIds7bqej_d_iqtkvwssgqor" Type="http://schemas.openxmlformats.org/officeDocument/2006/relationships/hyperlink" Target="https://digital-strategy.ec.europa.eu/en/policies/regulatory-framework-ai" TargetMode="External"/><Relationship Id="rIdqtb5fw4eacobmkodiefhu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mdri_o-v5zsvoksgv9t0u" Type="http://schemas.openxmlformats.org/officeDocument/2006/relationships/hyperlink" Target="https://ai-act-service-desk.ec.europa.eu/en/ai-act/timeline/timeline-implementation-eu-ai-act" TargetMode="External"/><Relationship Id="rIdwt_47er6vtqvvgwwgp3c1" Type="http://schemas.openxmlformats.org/officeDocument/2006/relationships/hyperlink" Target="https://iapp.org/news/a/a-view-from-brussels-why-the-cada-sovereignty-proposal-deserves-attention" TargetMode="External"/><Relationship Id="rIdjw18cnpumq9x34ni1uxls" Type="http://schemas.openxmlformats.org/officeDocument/2006/relationships/hyperlink" Target="https://iapp.org/news/a/europes-cloud-and-ai-development-act-grand-ambition-fragile-foundations" TargetMode="External"/><Relationship Id="rIdpfjahykjytfbk3vjqgycy" Type="http://schemas.openxmlformats.org/officeDocument/2006/relationships/hyperlink" Target="https://iapp.org/news/a/notes-from-the-ai-governance-center-the-key-ai-governance-issues-tackled-at-aigg-europe-2026" TargetMode="External"/><Relationship Id="rIdtjxfxlzhncduteop5ago5" Type="http://schemas.openxmlformats.org/officeDocument/2006/relationships/hyperlink" Target="https://artificialintelligenceact.eu/enforcement-of-chapter-v-under-the-eu-ai-act/" TargetMode="External"/><Relationship Id="rId3rjpel6zv_etqskggxchd" Type="http://schemas.openxmlformats.org/officeDocument/2006/relationships/hyperlink" Target="https://artificialintelligenceact.eu/implementation-timeline/" TargetMode="External"/><Relationship Id="rIdslblcw5nsoy_xvpn0ukd9" Type="http://schemas.openxmlformats.org/officeDocument/2006/relationships/hyperlink" Target="https://www.cnil.fr/fr/ia-generative-et-vie-privee-affiche-coproduite-pipc-cnil" TargetMode="External"/><Relationship Id="rIdkb8gfzq7nqg9w4low0ikh" Type="http://schemas.openxmlformats.org/officeDocument/2006/relationships/hyperlink" Target="https://www.cnil.fr/fr/ia-conversationnelle-et-sante-mentale-des-jeunes-resultats-de-lenquete-europeenne" TargetMode="External"/><Relationship Id="rIddswyt4vr4_hdj0fdqfeqb" Type="http://schemas.openxmlformats.org/officeDocument/2006/relationships/hyperlink" Target="https://www.cnil.fr/fr/projet-paname-participez-aux-tests-dun-outil-daudit-rgpd-des-modeles-dia" TargetMode="External"/><Relationship Id="rIdd61tmh0f2zzcab8ig5nk8" Type="http://schemas.openxmlformats.org/officeDocument/2006/relationships/hyperlink" Target="https://digital-strategy.ec.europa.eu/en/policies/regulatory-framework-ai" TargetMode="External"/><Relationship Id="rIdvqogpqh3ierkbzja19lwr" Type="http://schemas.openxmlformats.org/officeDocument/2006/relationships/hyperlink" Target="https://iapp.org/news/" TargetMode="External"/><Relationship Id="rIdcpjlfsktcttsrorpkw3wo" Type="http://schemas.openxmlformats.org/officeDocument/2006/relationships/hyperlink" Target="https://www.cnil.fr/fr/intelligence-artificielle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2026-06-12T05:06:37.036Z</dcterms:created>
  <dcterms:modified xsi:type="dcterms:W3CDTF">2026-06-12T05:06:37.109Z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