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B3A6B"/>
          <w:sz w:val="56"/>
          <w:szCs w:val="56"/>
        </w:rPr>
        <w:t xml:space="preserve">Veille RGPD — Compte-rendu quotidien</w:t>
      </w:r>
    </w:p>
    <w:p>
      <w:pPr>
        <w:spacing w:after="80"/>
        <w:jc w:val="center"/>
      </w:pPr>
      <w:r>
        <w:rPr>
          <w:rFonts w:ascii="Calibri" w:cs="Calibri" w:eastAsia="Calibri" w:hAnsi="Calibri"/>
          <w:color w:val="1B3A6B"/>
          <w:sz w:val="28"/>
          <w:szCs w:val="28"/>
        </w:rPr>
        <w:t xml:space="preserve">2026-06-11  •  Règlement UE 2016/679 (RGPD) &amp; loi Informatique et Libertés</w:t>
      </w:r>
    </w:p>
    <w:p>
      <w:pPr>
        <w:spacing w:after="200"/>
        <w:jc w:val="center"/>
      </w:pPr>
      <w:r>
        <w:rPr>
          <w:rFonts w:ascii="Calibri" w:cs="Calibri" w:eastAsia="Calibri" w:hAnsi="Calibri"/>
          <w:b/>
          <w:bCs/>
          <w:color w:val="D97706"/>
          <w:sz w:val="30"/>
          <w:szCs w:val="30"/>
        </w:rPr>
        <w:t xml:space="preserve">Niveau d'alerte du jour : 🟡 À SURVEILLER  •  Sources accessibles : 6/7 ✅</w:t>
      </w:r>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En bref — Faits marquants du jour</w:t>
      </w:r>
    </w:p>
    <w:p>
      <w:pPr>
        <w:pStyle w:val="ListParagraph"/>
        <w:numPr>
          <w:ilvl w:val="0"/>
          <w:numId w:val="1"/>
        </w:numPr>
        <w:spacing w:after="60"/>
      </w:pPr>
      <w:r>
        <w:rPr>
          <w:rFonts w:ascii="Calibri" w:cs="Calibri" w:eastAsia="Calibri" w:hAnsi="Calibri"/>
          <w:color w:val="1F2937"/>
          <w:sz w:val="22"/>
          <w:szCs w:val="22"/>
        </w:rPr>
        <w:t xml:space="preserve">EDPB (10/06/2026) : Adoption d'un modèle commun standardisé de notification de violations de données (art. 33 RGPD) — consultation publique jusqu'au 5 août 2026. Avantage majeur pour les petites structures sans DPO dédié.</w:t>
      </w:r>
    </w:p>
    <w:p>
      <w:pPr>
        <w:pStyle w:val="ListParagraph"/>
        <w:numPr>
          <w:ilvl w:val="0"/>
          <w:numId w:val="1"/>
        </w:numPr>
        <w:spacing w:after="60"/>
      </w:pPr>
      <w:r>
        <w:rPr>
          <w:rFonts w:ascii="Calibri" w:cs="Calibri" w:eastAsia="Calibri" w:hAnsi="Calibri"/>
          <w:color w:val="1F2937"/>
          <w:sz w:val="22"/>
          <w:szCs w:val="22"/>
        </w:rPr>
        <w:t xml:space="preserve">CNIL (10/06/2026) : Publication d'un guide actualisé sur les règles de communication électronique aux prospects — consentement préalable obligatoire pour la prospection commerciale, avec exceptions B2B.</w:t>
      </w:r>
    </w:p>
    <w:p>
      <w:pPr>
        <w:pStyle w:val="ListParagraph"/>
        <w:numPr>
          <w:ilvl w:val="0"/>
          <w:numId w:val="1"/>
        </w:numPr>
        <w:spacing w:after="60"/>
      </w:pPr>
      <w:r>
        <w:rPr>
          <w:rFonts w:ascii="Calibri" w:cs="Calibri" w:eastAsia="Calibri" w:hAnsi="Calibri"/>
          <w:color w:val="1F2937"/>
          <w:sz w:val="22"/>
          <w:szCs w:val="22"/>
        </w:rPr>
        <w:t xml:space="preserve">EDPS (08/06/2026) : Débat de haut niveau « From Omnibus to Opportunity » sur les propositions Omnibus de la Commission européenne et leurs implications sur le RGPD et le cadre numérique européen.</w:t>
      </w:r>
    </w:p>
    <w:p>
      <w:pPr>
        <w:pStyle w:val="ListParagraph"/>
        <w:numPr>
          <w:ilvl w:val="0"/>
          <w:numId w:val="1"/>
        </w:numPr>
        <w:spacing w:after="60"/>
      </w:pPr>
      <w:r>
        <w:rPr>
          <w:rFonts w:ascii="Calibri" w:cs="Calibri" w:eastAsia="Calibri" w:hAnsi="Calibri"/>
          <w:color w:val="1F2937"/>
          <w:sz w:val="22"/>
          <w:szCs w:val="22"/>
        </w:rPr>
        <w:t xml:space="preserve">CJUE – C-526/24 (19/03/2026) : Arrêt sur les demandes d'accès RGPD de mauvaise foi — la CJUE admet qu'un accès peut être refusé si la demande est « excessive » ou manifestement abusive.</w:t>
      </w:r>
    </w:p>
    <w:p>
      <w:pPr>
        <w:pStyle w:val="ListParagraph"/>
        <w:numPr>
          <w:ilvl w:val="0"/>
          <w:numId w:val="1"/>
        </w:numPr>
        <w:spacing w:after="60"/>
      </w:pPr>
      <w:r>
        <w:rPr>
          <w:rFonts w:ascii="Calibri" w:cs="Calibri" w:eastAsia="Calibri" w:hAnsi="Calibri"/>
          <w:color w:val="1F2937"/>
          <w:sz w:val="22"/>
          <w:szCs w:val="22"/>
        </w:rPr>
        <w:t xml:space="preserve">Rappel : Réunion G7 Data Protection Authorities à Paris sous présidence CNIL — 23-26 juin 2026 (prochaine semaine). Enjeu : convergence internationale des cadres de protection des données.</w:t>
      </w:r>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Sanctions &amp; jurisprudence</w:t>
      </w:r>
    </w:p>
    <w:p>
      <w:pPr>
        <w:spacing w:after="60" w:before="160"/>
      </w:pPr>
      <w:r>
        <w:rPr>
          <w:rFonts w:ascii="Calibri" w:cs="Calibri" w:eastAsia="Calibri" w:hAnsi="Calibri"/>
          <w:b/>
          <w:bCs/>
          <w:color w:val="1F2937"/>
          <w:sz w:val="24"/>
          <w:szCs w:val="24"/>
        </w:rPr>
        <w:t xml:space="preserve">CJUE — Affaire C-526/24 (19 mars 2026)</w:t>
      </w:r>
    </w:p>
    <w:p>
      <w:pPr>
        <w:spacing w:after="80"/>
      </w:pPr>
      <w:r>
        <w:rPr>
          <w:rFonts w:ascii="Calibri" w:cs="Calibri" w:eastAsia="Calibri" w:hAnsi="Calibri"/>
          <w:color w:val="1F2937"/>
          <w:sz w:val="22"/>
          <w:szCs w:val="22"/>
        </w:rPr>
        <w:t xml:space="preserve">Arrêt de la Cour de Justice de l'UE : une autorité ou un organisme peut refuser une demande d'accès aux données personnelles lorsque la requête est manifestement de mauvaise foi ou « excessive ». Cet arrêt nuance le droit d'accès absolu souvent invoqué — il appartient au responsable de traitement de démontrer le caractère abusif de la demande.</w:t>
      </w:r>
    </w:p>
    <w:p>
      <w:pPr>
        <w:spacing w:after="80"/>
      </w:pPr>
      <w:r>
        <w:rPr>
          <w:rFonts w:ascii="Calibri" w:cs="Calibri" w:eastAsia="Calibri" w:hAnsi="Calibri"/>
          <w:color w:val="1F2937"/>
          <w:sz w:val="22"/>
          <w:szCs w:val="22"/>
        </w:rPr>
        <w:t xml:space="preserve">→ Source : </w:t>
      </w:r>
      <w:hyperlink w:history="1" r:id="rIdzn0tntims4g8zcwjfumdp">
        <w:r>
          <w:rPr>
            <w:rFonts w:ascii="Calibri" w:cs="Calibri" w:eastAsia="Calibri" w:hAnsi="Calibri"/>
            <w:color w:val="1155CC"/>
            <w:sz w:val="22"/>
            <w:szCs w:val="22"/>
            <w:u w:val="single"/>
          </w:rPr>
          <w:t xml:space="preserve">Le Monde du Droit — CJUE C-526/24 refus droit d'accès RGPD</w:t>
        </w:r>
      </w:hyperlink>
    </w:p>
    <w:p>
      <w:pPr>
        <w:spacing w:after="60" w:before="160"/>
      </w:pPr>
      <w:r>
        <w:rPr>
          <w:rFonts w:ascii="Calibri" w:cs="Calibri" w:eastAsia="Calibri" w:hAnsi="Calibri"/>
          <w:b/>
          <w:bCs/>
          <w:color w:val="1F2937"/>
          <w:sz w:val="24"/>
          <w:szCs w:val="24"/>
        </w:rPr>
        <w:t xml:space="preserve">Rappel — Sanctions récentes (déjà couvertes le 09/06/2026)</w:t>
      </w:r>
    </w:p>
    <w:p>
      <w:pPr>
        <w:pStyle w:val="ListParagraph"/>
        <w:numPr>
          <w:ilvl w:val="0"/>
          <w:numId w:val="1"/>
        </w:numPr>
        <w:spacing w:after="60"/>
      </w:pPr>
      <w:r>
        <w:rPr>
          <w:rFonts w:ascii="Calibri" w:cs="Calibri" w:eastAsia="Calibri" w:hAnsi="Calibri"/>
          <w:color w:val="1F2937"/>
          <w:sz w:val="22"/>
          <w:szCs w:val="22"/>
        </w:rPr>
        <w:t xml:space="preserve">IQVIA Operations France — 5 M€ (28/05/2026) : garanties insuffisantes sur les entrepôts de données de santé. Rappel : la pseudonymisation reste une donnée personnelle pour le détenteur des clés.</w:t>
      </w:r>
    </w:p>
    <w:p>
      <w:pPr>
        <w:pStyle w:val="ListParagraph"/>
        <w:numPr>
          <w:ilvl w:val="0"/>
          <w:numId w:val="1"/>
        </w:numPr>
        <w:spacing w:after="60"/>
      </w:pPr>
      <w:r>
        <w:rPr>
          <w:rFonts w:ascii="Calibri" w:cs="Calibri" w:eastAsia="Calibri" w:hAnsi="Calibri"/>
          <w:color w:val="1F2937"/>
          <w:sz w:val="22"/>
          <w:szCs w:val="22"/>
        </w:rPr>
        <w:t xml:space="preserve">France Travail — 5 M€ (jan. 2026) : violation de données, sécurité insuffisante (art. 32).</w:t>
      </w:r>
    </w:p>
    <w:p>
      <w:pPr>
        <w:pStyle w:val="ListParagraph"/>
        <w:numPr>
          <w:ilvl w:val="0"/>
          <w:numId w:val="1"/>
        </w:numPr>
        <w:spacing w:after="60"/>
      </w:pPr>
      <w:r>
        <w:rPr>
          <w:rFonts w:ascii="Calibri" w:cs="Calibri" w:eastAsia="Calibri" w:hAnsi="Calibri"/>
          <w:color w:val="1F2937"/>
          <w:sz w:val="22"/>
          <w:szCs w:val="22"/>
        </w:rPr>
        <w:t xml:space="preserve">FREE MOBILE / FREE — 42 M€ au total (27 + 15 M€, jan. 2026) : mesures de sécurité inadéquates pour les données des abonnés.</w:t>
      </w:r>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Doctrine &amp; lignes directrices</w:t>
      </w:r>
    </w:p>
    <w:p>
      <w:pPr>
        <w:spacing w:after="60" w:before="160"/>
      </w:pPr>
      <w:r>
        <w:rPr>
          <w:rFonts w:ascii="Calibri" w:cs="Calibri" w:eastAsia="Calibri" w:hAnsi="Calibri"/>
          <w:b/>
          <w:bCs/>
          <w:color w:val="1F2937"/>
          <w:sz w:val="24"/>
          <w:szCs w:val="24"/>
        </w:rPr>
        <w:t xml:space="preserve">EDPB — Modèle commun de notification de violations de données (10/06/2026)</w:t>
      </w:r>
    </w:p>
    <w:p>
      <w:pPr>
        <w:spacing w:after="80"/>
      </w:pPr>
      <w:r>
        <w:rPr>
          <w:rFonts w:ascii="Calibri" w:cs="Calibri" w:eastAsia="Calibri" w:hAnsi="Calibri"/>
          <w:color w:val="1F2937"/>
          <w:sz w:val="22"/>
          <w:szCs w:val="22"/>
        </w:rPr>
        <w:t xml:space="preserve">Le EDPB a adopté un template standardisé destiné à harmoniser les déclarations de violations de données (art. 33 RGPD) dans tous les États membres. Il comprend des options prédéfinies et des orientations pour faciliter les soumissions. Consultation publique jusqu'au 5 août 2026 avant déploiement par toutes les autorités.</w:t>
      </w:r>
    </w:p>
    <w:p>
      <w:pPr>
        <w:spacing w:after="80"/>
      </w:pPr>
      <w:r>
        <w:rPr>
          <w:rFonts w:ascii="Calibri" w:cs="Calibri" w:eastAsia="Calibri" w:hAnsi="Calibri"/>
          <w:color w:val="1F2937"/>
          <w:sz w:val="22"/>
          <w:szCs w:val="22"/>
        </w:rPr>
        <w:t xml:space="preserve">→ Source : </w:t>
      </w:r>
      <w:hyperlink w:history="1" r:id="rIdwarcux7opmr5y0kybixod">
        <w:r>
          <w:rPr>
            <w:rFonts w:ascii="Calibri" w:cs="Calibri" w:eastAsia="Calibri" w:hAnsi="Calibri"/>
            <w:color w:val="1155CC"/>
            <w:sz w:val="22"/>
            <w:szCs w:val="22"/>
            <w:u w:val="single"/>
          </w:rPr>
          <w:t xml:space="preserve">EDPB — Template data breach notification (10/06/2026)</w:t>
        </w:r>
      </w:hyperlink>
    </w:p>
    <w:p>
      <w:pPr>
        <w:spacing w:after="60" w:before="160"/>
      </w:pPr>
      <w:r>
        <w:rPr>
          <w:rFonts w:ascii="Calibri" w:cs="Calibri" w:eastAsia="Calibri" w:hAnsi="Calibri"/>
          <w:b/>
          <w:bCs/>
          <w:color w:val="1F2937"/>
          <w:sz w:val="24"/>
          <w:szCs w:val="24"/>
        </w:rPr>
        <w:t xml:space="preserve">CNIL — Guide communication électronique aux prospects (10/06/2026)</w:t>
      </w:r>
    </w:p>
    <w:p>
      <w:pPr>
        <w:spacing w:after="80"/>
      </w:pPr>
      <w:r>
        <w:rPr>
          <w:rFonts w:ascii="Calibri" w:cs="Calibri" w:eastAsia="Calibri" w:hAnsi="Calibri"/>
          <w:color w:val="1F2937"/>
          <w:sz w:val="22"/>
          <w:szCs w:val="22"/>
        </w:rPr>
        <w:t xml:space="preserve">Guide actualisé précisant les règles de prospection commerciale par email/SMS : consentement préalable obligatoire sauf exception clients existants (offres similaires). Distinction cruciale prospection/transactionnel selon l'objectif, non le contenu. Obligation de tenue de listes de désinscription à jour.</w:t>
      </w:r>
    </w:p>
    <w:p>
      <w:pPr>
        <w:spacing w:after="80"/>
      </w:pPr>
      <w:r>
        <w:rPr>
          <w:rFonts w:ascii="Calibri" w:cs="Calibri" w:eastAsia="Calibri" w:hAnsi="Calibri"/>
          <w:color w:val="1F2937"/>
          <w:sz w:val="22"/>
          <w:szCs w:val="22"/>
        </w:rPr>
        <w:t xml:space="preserve">→ Source : </w:t>
      </w:r>
      <w:hyperlink w:history="1" r:id="rIdmey_aflpyquaudsf4jndk">
        <w:r>
          <w:rPr>
            <w:rFonts w:ascii="Calibri" w:cs="Calibri" w:eastAsia="Calibri" w:hAnsi="Calibri"/>
            <w:color w:val="1155CC"/>
            <w:sz w:val="22"/>
            <w:szCs w:val="22"/>
            <w:u w:val="single"/>
          </w:rPr>
          <w:t xml:space="preserve">CNIL — Communications électroniques : quelles règles ?</w:t>
        </w:r>
      </w:hyperlink>
    </w:p>
    <w:p>
      <w:pPr>
        <w:spacing w:after="60" w:before="160"/>
      </w:pPr>
      <w:r>
        <w:rPr>
          <w:rFonts w:ascii="Calibri" w:cs="Calibri" w:eastAsia="Calibri" w:hAnsi="Calibri"/>
          <w:b/>
          <w:bCs/>
          <w:color w:val="1F2937"/>
          <w:sz w:val="24"/>
          <w:szCs w:val="24"/>
        </w:rPr>
        <w:t xml:space="preserve">EDPS — Débat « From Omnibus to Opportunity » (08/06/2026)</w:t>
      </w:r>
    </w:p>
    <w:p>
      <w:pPr>
        <w:spacing w:after="80"/>
      </w:pPr>
      <w:r>
        <w:rPr>
          <w:rFonts w:ascii="Calibri" w:cs="Calibri" w:eastAsia="Calibri" w:hAnsi="Calibri"/>
          <w:color w:val="1F2937"/>
          <w:sz w:val="22"/>
          <w:szCs w:val="22"/>
        </w:rPr>
        <w:t xml:space="preserve">Débat organisé conjointement par le EDPS, le BfDI allemand et le Commissaire à la protection des données de Bavière. En jeu : les propositions Omnibus de la Commission européenne et leur impact sur le RGPD, le Data Act et le cadre réglementaire numérique. Risque de dilution des protections RGPD sous pression de compétitivité.</w:t>
      </w:r>
    </w:p>
    <w:p>
      <w:pPr>
        <w:spacing w:after="80"/>
      </w:pPr>
      <w:r>
        <w:rPr>
          <w:rFonts w:ascii="Calibri" w:cs="Calibri" w:eastAsia="Calibri" w:hAnsi="Calibri"/>
          <w:color w:val="1F2937"/>
          <w:sz w:val="22"/>
          <w:szCs w:val="22"/>
        </w:rPr>
        <w:t xml:space="preserve">→ Source : </w:t>
      </w:r>
      <w:hyperlink w:history="1" r:id="rIdpazz1riah1f2detrsmika">
        <w:r>
          <w:rPr>
            <w:rFonts w:ascii="Calibri" w:cs="Calibri" w:eastAsia="Calibri" w:hAnsi="Calibri"/>
            <w:color w:val="1155CC"/>
            <w:sz w:val="22"/>
            <w:szCs w:val="22"/>
            <w:u w:val="single"/>
          </w:rPr>
          <w:t xml:space="preserve">EDPS — High-Level Debate: Omnibus to Opportunity (08/06/2026)</w:t>
        </w:r>
      </w:hyperlink>
    </w:p>
    <w:p>
      <w:pPr>
        <w:spacing w:after="60" w:before="160"/>
      </w:pPr>
      <w:r>
        <w:rPr>
          <w:rFonts w:ascii="Calibri" w:cs="Calibri" w:eastAsia="Calibri" w:hAnsi="Calibri"/>
          <w:b/>
          <w:bCs/>
          <w:color w:val="1F2937"/>
          <w:sz w:val="24"/>
          <w:szCs w:val="24"/>
        </w:rPr>
        <w:t xml:space="preserve">EDPB — 10 ans du RGPD (27/04/2026)</w:t>
      </w:r>
    </w:p>
    <w:p>
      <w:pPr>
        <w:spacing w:after="80"/>
      </w:pPr>
      <w:r>
        <w:rPr>
          <w:rFonts w:ascii="Calibri" w:cs="Calibri" w:eastAsia="Calibri" w:hAnsi="Calibri"/>
          <w:color w:val="1F2937"/>
          <w:sz w:val="22"/>
          <w:szCs w:val="22"/>
        </w:rPr>
        <w:t xml:space="preserve">Le EDPB a publié un bilan décennal de l'évolution du paysage européen de protection des données depuis l'entrée en vigueur du RGPD (mai 2018). Bilan positif sur la convergence, mais souligne les défis persistants : cohérence inter-DPA, charge sur les PME, IA et traitements transfrontières.</w:t>
      </w:r>
    </w:p>
    <w:p>
      <w:pPr>
        <w:spacing w:after="80"/>
      </w:pPr>
      <w:r>
        <w:rPr>
          <w:rFonts w:ascii="Calibri" w:cs="Calibri" w:eastAsia="Calibri" w:hAnsi="Calibri"/>
          <w:color w:val="1F2937"/>
          <w:sz w:val="22"/>
          <w:szCs w:val="22"/>
        </w:rPr>
        <w:t xml:space="preserve">→ Source : </w:t>
      </w:r>
      <w:hyperlink w:history="1" r:id="rId_mxbk7jsxuiljn_s53ukn">
        <w:r>
          <w:rPr>
            <w:rFonts w:ascii="Calibri" w:cs="Calibri" w:eastAsia="Calibri" w:hAnsi="Calibri"/>
            <w:color w:val="1155CC"/>
            <w:sz w:val="22"/>
            <w:szCs w:val="22"/>
            <w:u w:val="single"/>
          </w:rPr>
          <w:t xml:space="preserve">EDPB — Marking 10 years of the GDPR (27/04/2026)</w:t>
        </w:r>
      </w:hyperlink>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Focus santé / médico-social</w:t>
      </w:r>
    </w:p>
    <w:p>
      <w:pPr>
        <w:spacing w:after="60" w:before="160"/>
      </w:pPr>
      <w:r>
        <w:rPr>
          <w:rFonts w:ascii="Calibri" w:cs="Calibri" w:eastAsia="Calibri" w:hAnsi="Calibri"/>
          <w:b/>
          <w:bCs/>
          <w:color w:val="1F2937"/>
          <w:sz w:val="24"/>
          <w:szCs w:val="24"/>
        </w:rPr>
        <w:t xml:space="preserve">CNIL × HAS — Engagement numérique en santé (11/03/2026, rappel)</w:t>
      </w:r>
    </w:p>
    <w:p>
      <w:pPr>
        <w:spacing w:after="80"/>
      </w:pPr>
      <w:r>
        <w:rPr>
          <w:rFonts w:ascii="Calibri" w:cs="Calibri" w:eastAsia="Calibri" w:hAnsi="Calibri"/>
          <w:color w:val="1F2937"/>
          <w:sz w:val="22"/>
          <w:szCs w:val="22"/>
        </w:rPr>
        <w:t xml:space="preserve">Partenariat CNIL-HAS pour renforcer les bonnes pratiques du numérique dans le sanitaire et médico-social. Ce partenariat signifie que les référentiels HAS intègreront désormais des exigences CNIL explicites — à surveiller pour l'évaluation externe HAS et les ESSMS.</w:t>
      </w:r>
    </w:p>
    <w:p>
      <w:pPr>
        <w:spacing w:after="80"/>
      </w:pPr>
      <w:r>
        <w:rPr>
          <w:rFonts w:ascii="Calibri" w:cs="Calibri" w:eastAsia="Calibri" w:hAnsi="Calibri"/>
          <w:color w:val="1F2937"/>
          <w:sz w:val="22"/>
          <w:szCs w:val="22"/>
        </w:rPr>
        <w:t xml:space="preserve">→ Source : </w:t>
      </w:r>
      <w:hyperlink w:history="1" r:id="rIdciscbzutik30ftce1rers">
        <w:r>
          <w:rPr>
            <w:rFonts w:ascii="Calibri" w:cs="Calibri" w:eastAsia="Calibri" w:hAnsi="Calibri"/>
            <w:color w:val="1155CC"/>
            <w:sz w:val="22"/>
            <w:szCs w:val="22"/>
            <w:u w:val="single"/>
          </w:rPr>
          <w:t xml:space="preserve">CNIL — Numérique en santé : CNIL et HAS s'engagent</w:t>
        </w:r>
      </w:hyperlink>
    </w:p>
    <w:p>
      <w:pPr>
        <w:spacing w:after="60" w:before="160"/>
      </w:pPr>
      <w:r>
        <w:rPr>
          <w:rFonts w:ascii="Calibri" w:cs="Calibri" w:eastAsia="Calibri" w:hAnsi="Calibri"/>
          <w:b/>
          <w:bCs/>
          <w:color w:val="1F2937"/>
          <w:sz w:val="24"/>
          <w:szCs w:val="24"/>
        </w:rPr>
        <w:t xml:space="preserve">Recherche en santé — MR-001 &amp; MR-003 actualisées (26/05/2026, rappel)</w:t>
      </w:r>
    </w:p>
    <w:p>
      <w:pPr>
        <w:spacing w:after="80"/>
      </w:pPr>
      <w:r>
        <w:rPr>
          <w:rFonts w:ascii="Calibri" w:cs="Calibri" w:eastAsia="Calibri" w:hAnsi="Calibri"/>
          <w:color w:val="1F2937"/>
          <w:sz w:val="22"/>
          <w:szCs w:val="22"/>
        </w:rPr>
        <w:t xml:space="preserve">Mise à jour et élargissement des méthodologies de référence pour la recherche en santé : études à l'étranger désormais couvertes, contrôles qualité à distance possibles. Pertinent pour les ESSMS engagés dans des études cliniques ou alimentant des bases de données de recherche.</w:t>
      </w:r>
    </w:p>
    <w:p>
      <w:pPr>
        <w:spacing w:after="80"/>
      </w:pPr>
      <w:r>
        <w:rPr>
          <w:rFonts w:ascii="Calibri" w:cs="Calibri" w:eastAsia="Calibri" w:hAnsi="Calibri"/>
          <w:color w:val="1F2937"/>
          <w:sz w:val="22"/>
          <w:szCs w:val="22"/>
        </w:rPr>
        <w:t xml:space="preserve">→ Source : </w:t>
      </w:r>
      <w:hyperlink w:history="1" r:id="rIdn-sls5owckk6qzivab4ws">
        <w:r>
          <w:rPr>
            <w:rFonts w:ascii="Calibri" w:cs="Calibri" w:eastAsia="Calibri" w:hAnsi="Calibri"/>
            <w:color w:val="1155CC"/>
            <w:sz w:val="22"/>
            <w:szCs w:val="22"/>
            <w:u w:val="single"/>
          </w:rPr>
          <w:t xml:space="preserve">CNIL — Recherche en santé : MR-001 et MR-003 mises à jour (26/05/2026)</w:t>
        </w:r>
      </w:hyperlink>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Impacts pour les ESSMS — Points de vigilance</w:t>
      </w:r>
    </w:p>
    <w:p>
      <w:pPr>
        <w:spacing w:after="60" w:before="160"/>
      </w:pPr>
      <w:r>
        <w:rPr>
          <w:rFonts w:ascii="Calibri" w:cs="Calibri" w:eastAsia="Calibri" w:hAnsi="Calibri"/>
          <w:b/>
          <w:bCs/>
          <w:color w:val="1F2937"/>
          <w:sz w:val="24"/>
          <w:szCs w:val="24"/>
        </w:rPr>
        <w:t xml:space="preserve">1. Violations de données — Nouvelle obligation de notification standardisée (art. 33)</w:t>
      </w:r>
    </w:p>
    <w:p>
      <w:pPr>
        <w:spacing w:after="80"/>
      </w:pPr>
      <w:r>
        <w:rPr>
          <w:rFonts w:ascii="Calibri" w:cs="Calibri" w:eastAsia="Calibri" w:hAnsi="Calibri"/>
          <w:color w:val="1F2937"/>
          <w:sz w:val="22"/>
          <w:szCs w:val="22"/>
        </w:rPr>
        <w:t xml:space="preserve">Le modèle EDPB à venir simplifiera la déclaration de violations à la CNIL dans les 72h. À anticiper : vérifier que votre procédure interne de gestion des violations (registre, chaîne d'alerte DPO, notification CNIL) est opérationnelle. Les petites structures (foyers, FAM, SAVS) bénéficieront de ce template guidé.</w:t>
      </w:r>
    </w:p>
    <w:p>
      <w:pPr>
        <w:spacing w:after="60" w:before="160"/>
      </w:pPr>
      <w:r>
        <w:rPr>
          <w:rFonts w:ascii="Calibri" w:cs="Calibri" w:eastAsia="Calibri" w:hAnsi="Calibri"/>
          <w:b/>
          <w:bCs/>
          <w:color w:val="1F2937"/>
          <w:sz w:val="24"/>
          <w:szCs w:val="24"/>
        </w:rPr>
        <w:t xml:space="preserve">2. Données de santé — Vigilance renforcée (art. 9 RGPD)</w:t>
      </w:r>
    </w:p>
    <w:p>
      <w:pPr>
        <w:spacing w:after="80"/>
      </w:pPr>
      <w:r>
        <w:rPr>
          <w:rFonts w:ascii="Calibri" w:cs="Calibri" w:eastAsia="Calibri" w:hAnsi="Calibri"/>
          <w:color w:val="1F2937"/>
          <w:sz w:val="22"/>
          <w:szCs w:val="22"/>
        </w:rPr>
        <w:t xml:space="preserve">La sanction IQVIA rappelle que tout sous-traitant manipulant des données de santé (DUI, logiciels de dossier usager, hébergeurs HDS) doit offrir des garanties contractuelles suffisantes. Vérifier les clauses DPA (Data Processing Agreement) avec l'éditeur Imago et tout autre prestataire traitant des données usagers.</w:t>
      </w:r>
    </w:p>
    <w:p>
      <w:pPr>
        <w:spacing w:after="60" w:before="160"/>
      </w:pPr>
      <w:r>
        <w:rPr>
          <w:rFonts w:ascii="Calibri" w:cs="Calibri" w:eastAsia="Calibri" w:hAnsi="Calibri"/>
          <w:b/>
          <w:bCs/>
          <w:color w:val="1F2937"/>
          <w:sz w:val="24"/>
          <w:szCs w:val="24"/>
        </w:rPr>
        <w:t xml:space="preserve">3. Droit d'accès — Arrêt CJUE C-526/24</w:t>
      </w:r>
    </w:p>
    <w:p>
      <w:pPr>
        <w:spacing w:after="80"/>
      </w:pPr>
      <w:r>
        <w:rPr>
          <w:rFonts w:ascii="Calibri" w:cs="Calibri" w:eastAsia="Calibri" w:hAnsi="Calibri"/>
          <w:color w:val="1F2937"/>
          <w:sz w:val="22"/>
          <w:szCs w:val="22"/>
        </w:rPr>
        <w:t xml:space="preserve">Des personnes accompagnées (ou leurs représentants légaux) peuvent formuler des demandes d'accès à leur dossier. L'arrêt CJUE valide le refus si la demande est manifestement abusive. À documenter dans la procédure de gestion des droits : tracer les motifs de refus éventuels pour se prémunir d'un contentieux.</w:t>
      </w:r>
    </w:p>
    <w:p>
      <w:pPr>
        <w:spacing w:after="60" w:before="160"/>
      </w:pPr>
      <w:r>
        <w:rPr>
          <w:rFonts w:ascii="Calibri" w:cs="Calibri" w:eastAsia="Calibri" w:hAnsi="Calibri"/>
          <w:b/>
          <w:bCs/>
          <w:color w:val="1F2937"/>
          <w:sz w:val="24"/>
          <w:szCs w:val="24"/>
        </w:rPr>
        <w:t xml:space="preserve">4. Communication numérique — Prospection et consentement</w:t>
      </w:r>
    </w:p>
    <w:p>
      <w:pPr>
        <w:spacing w:after="80"/>
      </w:pPr>
      <w:r>
        <w:rPr>
          <w:rFonts w:ascii="Calibri" w:cs="Calibri" w:eastAsia="Calibri" w:hAnsi="Calibri"/>
          <w:color w:val="1F2937"/>
          <w:sz w:val="22"/>
          <w:szCs w:val="22"/>
        </w:rPr>
        <w:t xml:space="preserve">Si l'établissement adresse des emails/SMS aux familles, aidants ou partenaires à des fins autres que la relation contractuelle (ex. lettre d'information, événements), vérifier la base légale (consentement ou intérêt légitime) et la gestion des désinscriptions.</w:t>
      </w:r>
    </w:p>
    <w:p>
      <w:pPr>
        <w:spacing w:after="60" w:before="160"/>
      </w:pPr>
      <w:r>
        <w:rPr>
          <w:rFonts w:ascii="Calibri" w:cs="Calibri" w:eastAsia="Calibri" w:hAnsi="Calibri"/>
          <w:b/>
          <w:bCs/>
          <w:color w:val="1F2937"/>
          <w:sz w:val="24"/>
          <w:szCs w:val="24"/>
        </w:rPr>
        <w:t xml:space="preserve">5. Hébergement cloud — Qualification des acteurs</w:t>
      </w:r>
    </w:p>
    <w:p>
      <w:pPr>
        <w:spacing w:after="80"/>
      </w:pPr>
      <w:r>
        <w:rPr>
          <w:rFonts w:ascii="Calibri" w:cs="Calibri" w:eastAsia="Calibri" w:hAnsi="Calibri"/>
          <w:color w:val="1F2937"/>
          <w:sz w:val="22"/>
          <w:szCs w:val="22"/>
        </w:rPr>
        <w:t xml:space="preserve">La note CNIL sur les acteurs du cloud est directement applicable à tout contrat SaaS (logiciel métier, messagerie, stockage). Identifier pour chaque outil : responsable de traitement vs sous-traitant → mettre à jour le registre des traitements (obligatoire RGPD).</w:t>
      </w:r>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Sources du jour</w:t>
      </w:r>
    </w:p>
    <w:p>
      <w:pPr>
        <w:spacing w:after="60"/>
      </w:pPr>
      <w:r>
        <w:rPr>
          <w:rFonts w:ascii="Calibri" w:cs="Calibri" w:eastAsia="Calibri" w:hAnsi="Calibri"/>
          <w:color w:val="1F2937"/>
          <w:sz w:val="22"/>
          <w:szCs w:val="22"/>
        </w:rPr>
        <w:t xml:space="preserve">✅ </w:t>
      </w:r>
      <w:hyperlink w:history="1" r:id="rId2hxdrfxacaniu194du3ef">
        <w:r>
          <w:rPr>
            <w:rFonts w:ascii="Calibri" w:cs="Calibri" w:eastAsia="Calibri" w:hAnsi="Calibri"/>
            <w:color w:val="1155CC"/>
            <w:sz w:val="22"/>
            <w:szCs w:val="22"/>
            <w:u w:val="single"/>
          </w:rPr>
          <w:t xml:space="preserve">CNIL — Actualités</w:t>
        </w:r>
      </w:hyperlink>
    </w:p>
    <w:p>
      <w:pPr>
        <w:spacing w:after="60"/>
      </w:pPr>
      <w:r>
        <w:rPr>
          <w:rFonts w:ascii="Calibri" w:cs="Calibri" w:eastAsia="Calibri" w:hAnsi="Calibri"/>
          <w:color w:val="1F2937"/>
          <w:sz w:val="22"/>
          <w:szCs w:val="22"/>
        </w:rPr>
        <w:t xml:space="preserve">✅ </w:t>
      </w:r>
      <w:hyperlink w:history="1" r:id="rIdi4n2v-wntwfmehlyl5edr">
        <w:r>
          <w:rPr>
            <w:rFonts w:ascii="Calibri" w:cs="Calibri" w:eastAsia="Calibri" w:hAnsi="Calibri"/>
            <w:color w:val="1155CC"/>
            <w:sz w:val="22"/>
            <w:szCs w:val="22"/>
            <w:u w:val="single"/>
          </w:rPr>
          <w:t xml:space="preserve">CNIL — Santé et données de santé</w:t>
        </w:r>
      </w:hyperlink>
    </w:p>
    <w:p>
      <w:pPr>
        <w:spacing w:after="60"/>
      </w:pPr>
      <w:r>
        <w:rPr>
          <w:rFonts w:ascii="Calibri" w:cs="Calibri" w:eastAsia="Calibri" w:hAnsi="Calibri"/>
          <w:color w:val="1F2937"/>
          <w:sz w:val="22"/>
          <w:szCs w:val="22"/>
        </w:rPr>
        <w:t xml:space="preserve">✅ </w:t>
      </w:r>
      <w:hyperlink w:history="1" r:id="rIdewlp_dqvyql1nqvbdkqjx">
        <w:r>
          <w:rPr>
            <w:rFonts w:ascii="Calibri" w:cs="Calibri" w:eastAsia="Calibri" w:hAnsi="Calibri"/>
            <w:color w:val="1155CC"/>
            <w:sz w:val="22"/>
            <w:szCs w:val="22"/>
            <w:u w:val="single"/>
          </w:rPr>
          <w:t xml:space="preserve">EDPB — News (edpb.europa.eu)</w:t>
        </w:r>
      </w:hyperlink>
    </w:p>
    <w:p>
      <w:pPr>
        <w:spacing w:after="60"/>
      </w:pPr>
      <w:r>
        <w:rPr>
          <w:rFonts w:ascii="Calibri" w:cs="Calibri" w:eastAsia="Calibri" w:hAnsi="Calibri"/>
          <w:color w:val="1F2937"/>
          <w:sz w:val="22"/>
          <w:szCs w:val="22"/>
        </w:rPr>
        <w:t xml:space="preserve">✅ </w:t>
      </w:r>
      <w:hyperlink w:history="1" r:id="rIdewcvlgy1desvye2ctfsb1">
        <w:r>
          <w:rPr>
            <w:rFonts w:ascii="Calibri" w:cs="Calibri" w:eastAsia="Calibri" w:hAnsi="Calibri"/>
            <w:color w:val="1155CC"/>
            <w:sz w:val="22"/>
            <w:szCs w:val="22"/>
            <w:u w:val="single"/>
          </w:rPr>
          <w:t xml:space="preserve">EDPS — Press &amp; News</w:t>
        </w:r>
      </w:hyperlink>
    </w:p>
    <w:p>
      <w:pPr>
        <w:spacing w:after="60"/>
      </w:pPr>
      <w:r>
        <w:rPr>
          <w:rFonts w:ascii="Calibri" w:cs="Calibri" w:eastAsia="Calibri" w:hAnsi="Calibri"/>
          <w:color w:val="1F2937"/>
          <w:sz w:val="22"/>
          <w:szCs w:val="22"/>
        </w:rPr>
        <w:t xml:space="preserve">✅ </w:t>
      </w:r>
      <w:hyperlink w:history="1" r:id="rId1aiqaj60bqrbal9uopqrv">
        <w:r>
          <w:rPr>
            <w:rFonts w:ascii="Calibri" w:cs="Calibri" w:eastAsia="Calibri" w:hAnsi="Calibri"/>
            <w:color w:val="1155CC"/>
            <w:sz w:val="22"/>
            <w:szCs w:val="22"/>
            <w:u w:val="single"/>
          </w:rPr>
          <w:t xml:space="preserve">Donneespersonnelles.fr — Actualité RGPD 2026</w:t>
        </w:r>
      </w:hyperlink>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Village-Justice — Articles RGPD (page listage non structurée)</w:t>
      </w:r>
    </w:p>
    <w:p>
      <w:pPr>
        <w:spacing w:after="60"/>
      </w:pP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WebSearch CNIL sanctions juin 2026 + jurisprudence CJUE</w:t>
      </w:r>
    </w:p>
    <w:p>
      <w:pPr>
        <w:spacing w:after="80" w:before="80"/>
      </w:pPr>
      <w:r>
        <w:rPr>
          <w:rFonts w:ascii="Calibri" w:cs="Calibri" w:eastAsia="Calibri" w:hAnsi="Calibri"/>
          <w:color w:val="CCCCCC"/>
          <w:sz w:val="18"/>
          <w:szCs w:val="18"/>
        </w:rPr>
        <w:t xml:space="preserve">─────────────────────────────────────────</w:t>
      </w:r>
    </w:p>
    <w:p>
      <w:pPr>
        <w:spacing w:after="100" w:before="280"/>
      </w:pPr>
      <w:r>
        <w:rPr>
          <w:rFonts w:ascii="Calibri" w:cs="Calibri" w:eastAsia="Calibri" w:hAnsi="Calibri"/>
          <w:b/>
          <w:bCs/>
          <w:color w:val="1B3A6B"/>
          <w:sz w:val="28"/>
          <w:szCs w:val="28"/>
        </w:rPr>
        <w:t xml:space="preserve">🔜 À surveiller demain</w:t>
      </w:r>
    </w:p>
    <w:p>
      <w:pPr>
        <w:pStyle w:val="ListParagraph"/>
        <w:numPr>
          <w:ilvl w:val="0"/>
          <w:numId w:val="1"/>
        </w:numPr>
        <w:spacing w:after="60"/>
      </w:pPr>
      <w:r>
        <w:rPr>
          <w:rFonts w:ascii="Calibri" w:cs="Calibri" w:eastAsia="Calibri" w:hAnsi="Calibri"/>
          <w:color w:val="1F2937"/>
          <w:sz w:val="22"/>
          <w:szCs w:val="22"/>
        </w:rPr>
        <w:t xml:space="preserve">Consultation publique EDPB — Template notification violations de données : réponses attendues jusqu'au 5 août 2026. Surveiller la version définitive et son adoption par la CNIL.</w:t>
      </w:r>
    </w:p>
    <w:p>
      <w:pPr>
        <w:pStyle w:val="ListParagraph"/>
        <w:numPr>
          <w:ilvl w:val="0"/>
          <w:numId w:val="1"/>
        </w:numPr>
        <w:spacing w:after="60"/>
      </w:pPr>
      <w:r>
        <w:rPr>
          <w:rFonts w:ascii="Calibri" w:cs="Calibri" w:eastAsia="Calibri" w:hAnsi="Calibri"/>
          <w:color w:val="1F2937"/>
          <w:sz w:val="22"/>
          <w:szCs w:val="22"/>
        </w:rPr>
        <w:t xml:space="preserve">G7 DPA Paris (23-26 juin 2026) : réunion internationale des autorités de protection des données sous présidence CNIL. Déclarations et orientations à suivre.</w:t>
      </w:r>
    </w:p>
    <w:p>
      <w:pPr>
        <w:pStyle w:val="ListParagraph"/>
        <w:numPr>
          <w:ilvl w:val="0"/>
          <w:numId w:val="1"/>
        </w:numPr>
        <w:spacing w:after="60"/>
      </w:pPr>
      <w:r>
        <w:rPr>
          <w:rFonts w:ascii="Calibri" w:cs="Calibri" w:eastAsia="Calibri" w:hAnsi="Calibri"/>
          <w:color w:val="1F2937"/>
          <w:sz w:val="22"/>
          <w:szCs w:val="22"/>
        </w:rPr>
        <w:t xml:space="preserve">Propositions Omnibus CE : suite du débat EDPS sur les assouplissements réglementaires potentiels du RGPD — risque de régression sur le consentement et l'AIPD obligatoire.</w:t>
      </w:r>
    </w:p>
    <w:p>
      <w:pPr>
        <w:pStyle w:val="ListParagraph"/>
        <w:numPr>
          <w:ilvl w:val="0"/>
          <w:numId w:val="1"/>
        </w:numPr>
        <w:spacing w:after="60"/>
      </w:pPr>
      <w:r>
        <w:rPr>
          <w:rFonts w:ascii="Calibri" w:cs="Calibri" w:eastAsia="Calibri" w:hAnsi="Calibri"/>
          <w:color w:val="1F2937"/>
          <w:sz w:val="22"/>
          <w:szCs w:val="22"/>
        </w:rPr>
        <w:t xml:space="preserve">CNIL sanctions : vérifier si de nouvelles sanctions sont publiées en juin (dernier trimestre vu : 11 procédures simplifiées annoncées).</w:t>
      </w:r>
    </w:p>
    <w:p>
      <w:pPr>
        <w:pStyle w:val="ListParagraph"/>
        <w:numPr>
          <w:ilvl w:val="0"/>
          <w:numId w:val="1"/>
        </w:numPr>
        <w:spacing w:after="60"/>
      </w:pPr>
      <w:r>
        <w:rPr>
          <w:rFonts w:ascii="Calibri" w:cs="Calibri" w:eastAsia="Calibri" w:hAnsi="Calibri"/>
          <w:color w:val="1F2937"/>
          <w:sz w:val="22"/>
          <w:szCs w:val="22"/>
        </w:rPr>
        <w:t xml:space="preserve">Mise à jour MR-001/MR-003 : surveiller la publication des textes finaux et la liste des nouvelles recherches couvertes.</w:t>
      </w:r>
    </w:p>
    <w:p>
      <w:pPr>
        <w:spacing w:after="80" w:before="80"/>
      </w:pPr>
      <w:r>
        <w:rPr>
          <w:rFonts w:ascii="Calibri" w:cs="Calibri" w:eastAsia="Calibri" w:hAnsi="Calibri"/>
          <w:color w:val="CCCCCC"/>
          <w:sz w:val="18"/>
          <w:szCs w:val="18"/>
        </w:rPr>
        <w:t xml:space="preserve">─────────────────────────────────────────</w:t>
      </w:r>
    </w:p>
    <w:p>
      <w:pPr>
        <w:spacing w:before="200"/>
        <w:jc w:val="center"/>
      </w:pPr>
      <w:r>
        <w:rPr>
          <w:rFonts w:ascii="Calibri" w:cs="Calibri" w:eastAsia="Calibri" w:hAnsi="Calibri"/>
          <w:i/>
          <w:iCs/>
          <w:color w:val="6B7280"/>
          <w:sz w:val="18"/>
          <w:szCs w:val="18"/>
        </w:rPr>
        <w:t xml:space="preserve">Veille RGPD produite le 11 juin 2026 — Sources : CNIL, EDPB, EDPS, WebSearch  •  Usage interne ESSMS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n0tntims4g8zcwjfumdp" Type="http://schemas.openxmlformats.org/officeDocument/2006/relationships/hyperlink" Target="https://www.lemondedudroit.fr/decryptages/379-actualite-juridique/103548-cjue-refus-de-droit-dacces-au-titre-du-rgpd-pour-le-demandeur-de-mauvaise-foi.html" TargetMode="External"/><Relationship Id="rIdwarcux7opmr5y0kybixod" Type="http://schemas.openxmlformats.org/officeDocument/2006/relationships/hyperlink" Target="https://edpb.europa.eu/news/news/2026/edpb-meets-eu-commissioner-mcgrath-and-adopts-common-data-breach-notification_en" TargetMode="External"/><Relationship Id="rIdmey_aflpyquaudsf4jndk" Type="http://schemas.openxmlformats.org/officeDocument/2006/relationships/hyperlink" Target="https://www.cnil.fr/fr/communication-electronique-quelles-regles" TargetMode="External"/><Relationship Id="rIdpazz1riah1f2detrsmika" Type="http://schemas.openxmlformats.org/officeDocument/2006/relationships/hyperlink" Target="https://www.edps.europa.eu/data-protection/our-work/publications/events/2026-06-08-high-level-debate-omnibus-opportunity-driving-data-protection-and-innovation_en" TargetMode="External"/><Relationship Id="rId_mxbk7jsxuiljn_s53ukn" Type="http://schemas.openxmlformats.org/officeDocument/2006/relationships/hyperlink" Target="https://edpb.europa.eu/news/news/2026/marking-10-years-gdpr-evolution-european-data-protection-landscape_en" TargetMode="External"/><Relationship Id="rIdciscbzutik30ftce1rers" Type="http://schemas.openxmlformats.org/officeDocument/2006/relationships/hyperlink" Target="https://www.cnil.fr/fr/numerique-en-sante-la-cnil-et-la-has-sengagent" TargetMode="External"/><Relationship Id="rIdn-sls5owckk6qzivab4ws" Type="http://schemas.openxmlformats.org/officeDocument/2006/relationships/hyperlink" Target="https://www.cnil.fr/fr/recherche-en-sante-la-cnil-met-jour-et-elargit-le-champ-des-methodologies-de-reference-001-et-003" TargetMode="External"/><Relationship Id="rId2hxdrfxacaniu194du3ef" Type="http://schemas.openxmlformats.org/officeDocument/2006/relationships/hyperlink" Target="https://www.cnil.fr/fr/actualites" TargetMode="External"/><Relationship Id="rIdi4n2v-wntwfmehlyl5edr" Type="http://schemas.openxmlformats.org/officeDocument/2006/relationships/hyperlink" Target="https://www.cnil.fr/fr/sante" TargetMode="External"/><Relationship Id="rIdewlp_dqvyql1nqvbdkqjx" Type="http://schemas.openxmlformats.org/officeDocument/2006/relationships/hyperlink" Target="https://www.edpb.europa.eu/news/news_en" TargetMode="External"/><Relationship Id="rIdewcvlgy1desvye2ctfsb1" Type="http://schemas.openxmlformats.org/officeDocument/2006/relationships/hyperlink" Target="https://www.edps.europa.eu/press-publications/press-news/news_en" TargetMode="External"/><Relationship Id="rId1aiqaj60bqrbal9uopqrv" Type="http://schemas.openxmlformats.org/officeDocument/2006/relationships/hyperlink" Target="https://www.donneespersonnelles.fr/actualite-rgpd-202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2026-06-11T05:36:48.680Z</dcterms:created>
  <dcterms:modified xsi:type="dcterms:W3CDTF">2026-06-11T05:36:48.682Z</dcterms:modified>
</cp:coreProperties>
</file>

<file path=docProps/custom.xml><?xml version="1.0" encoding="utf-8"?>
<Properties xmlns="http://schemas.openxmlformats.org/officeDocument/2006/custom-properties" xmlns:vt="http://schemas.openxmlformats.org/officeDocument/2006/docPropsVTypes"/>
</file>