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color w:val="1B3A6B"/>
          <w:sz w:val="56"/>
          <w:szCs w:val="56"/>
        </w:rPr>
        <w:t xml:space="preserve">Veille AI Act — Compte-rendu</w:t>
      </w:r>
    </w:p>
    <w:p>
      <w:pPr>
        <w:spacing w:after="120"/>
        <w:jc w:val="center"/>
      </w:pPr>
      <w:r>
        <w:rPr>
          <w:rFonts w:ascii="Calibri" w:cs="Calibri" w:eastAsia="Calibri" w:hAnsi="Calibri"/>
          <w:color w:val="6B7280"/>
          <w:sz w:val="22"/>
          <w:szCs w:val="22"/>
        </w:rPr>
        <w:t xml:space="preserve">16 octobre 2026  ·  Fenêtre couverte : 9 → 16 octobre 2026</w:t>
      </w:r>
    </w:p>
    <w:p>
      <w:pPr>
        <w:spacing w:after="160"/>
      </w:pPr>
      <w:r>
        <w:rPr>
          <w:rFonts w:ascii="Calibri" w:cs="Calibri" w:eastAsia="Calibri" w:hAnsi="Calibri"/>
          <w:b/>
          <w:bCs/>
          <w:color w:val="B45309"/>
          <w:sz w:val="26"/>
          <w:szCs w:val="26"/>
        </w:rPr>
        <w:t xml:space="preserve">🟡 Niveau d'alerte : À SURVEILLER</w:t>
      </w:r>
    </w:p>
    <w:p>
      <w:pPr>
        <w:spacing w:after="80"/>
        <w:jc w:val="center"/>
      </w:pPr>
      <w:r>
        <w:rPr>
          <w:rFonts w:ascii="Calibri" w:cs="Calibri" w:eastAsia="Calibri" w:hAnsi="Calibri"/>
          <w:color w:val="6B7280"/>
          <w:sz w:val="20"/>
          <w:szCs w:val="20"/>
        </w:rPr>
        <w:t xml:space="preserve">Sources : 5 ✅ · 5 consultées · 1 ⚠️ (MEMBER) · 2 ⛔ — 13 tentées</w:t>
      </w:r>
    </w:p>
    <w:p>
      <w:pPr>
        <w:spacing w:after="80"/>
      </w:pPr>
      <w:r>
        <w:rPr>
          <w:rFonts w:ascii="Calibri" w:cs="Calibri" w:eastAsia="Calibri" w:hAnsi="Calibri"/>
          <w:color w:val="D1D5DB"/>
          <w:sz w:val="18"/>
          <w:szCs w:val="18"/>
        </w:rPr>
        <w:t xml:space="preserve">────────────────────────────────────────────────────────────</w:t>
      </w:r>
    </w:p>
    <w:p>
      <w:pPr>
        <w:spacing w:after="100"/>
      </w:pPr>
      <w:r>
        <w:rPr>
          <w:rFonts w:ascii="Calibri" w:cs="Calibri" w:eastAsia="Calibri" w:hAnsi="Calibri"/>
          <w:b/>
          <w:bCs/>
          <w:color w:val="1F2937"/>
          <w:sz w:val="22"/>
          <w:szCs w:val="22"/>
        </w:rPr>
        <w:t xml:space="preserve">📌 Note préliminaire — Reprise du fil</w:t>
      </w:r>
    </w:p>
    <w:p>
      <w:pPr>
        <w:spacing w:after="100"/>
      </w:pPr>
      <w:r>
        <w:rPr>
          <w:rFonts w:ascii="Calibri" w:cs="Calibri" w:eastAsia="Calibri" w:hAnsi="Calibri"/>
          <w:b w:val="false"/>
          <w:bCs w:val="false"/>
          <w:color w:val="1F2937"/>
          <w:sz w:val="22"/>
          <w:szCs w:val="22"/>
        </w:rPr>
        <w:t xml:space="preserve">Aucun point erroné identifié dans l'édition du 09/10/2026, déjà corrigée les 09 et 12 octobre 2026. La fiche du 09/10 signalait un risque pour cette édition : la publication de la Commission sur le panel scientifique portait la date du 05 octobre dans la liste de la page mais avait été publiée le 09 octobre. Ce risque est levé : l'article de suivi publié le 12 octobre 2026 est le fait central de cette édition.</w:t>
      </w:r>
    </w:p>
    <w:p>
      <w:pPr>
        <w:spacing w:after="80"/>
      </w:pPr>
      <w:r>
        <w:rPr>
          <w:rFonts w:ascii="Calibri" w:cs="Calibri" w:eastAsia="Calibri" w:hAnsi="Calibri"/>
          <w:color w:val="D1D5DB"/>
          <w:sz w:val="18"/>
          <w:szCs w:val="18"/>
        </w:rPr>
        <w:t xml:space="preserve">────────────────────────────────────────────────────────────</w:t>
      </w:r>
    </w:p>
    <w:p>
      <w:pPr>
        <w:spacing w:after="120" w:before="300"/>
      </w:pPr>
      <w:r>
        <w:rPr>
          <w:rFonts w:ascii="Calibri" w:cs="Calibri" w:eastAsia="Calibri" w:hAnsi="Calibri"/>
          <w:b/>
          <w:bCs/>
          <w:color w:val="1B3A6B"/>
          <w:sz w:val="28"/>
          <w:szCs w:val="28"/>
        </w:rPr>
        <w:t xml:space="preserve">🔵 En bref</w:t>
      </w:r>
    </w:p>
    <w:p>
      <w:pPr>
        <w:spacing w:after="80"/>
        <w:ind w:left="360"/>
      </w:pPr>
      <w:r>
        <w:rPr>
          <w:rFonts w:ascii="Calibri" w:cs="Calibri" w:eastAsia="Calibri" w:hAnsi="Calibri"/>
          <w:b/>
          <w:bCs/>
          <w:color w:val="1F2937"/>
          <w:sz w:val="22"/>
          <w:szCs w:val="22"/>
        </w:rPr>
        <w:t xml:space="preserve">• Commission — 12 oct 2026 : La Commission publie le compte rendu complet de la réunion extraordinaire du groupe scientifique d'experts sur la sécurité de l'IA (tenue le 9 oct). Le panel a présenté ses recommandations sur les incidents de perte de contrôle et la sécurité des modèles de frontière. La Commission va envoyer des demandes d'information aux développeurs des modèles concernés.</w:t>
      </w:r>
    </w:p>
    <w:p>
      <w:pPr>
        <w:spacing w:after="80"/>
        <w:ind w:left="360"/>
      </w:pPr>
      <w:r>
        <w:rPr>
          <w:rFonts w:ascii="Calibri" w:cs="Calibri" w:eastAsia="Calibri" w:hAnsi="Calibri"/>
          <w:b w:val="false"/>
          <w:bCs w:val="false"/>
          <w:color w:val="1F2937"/>
          <w:sz w:val="22"/>
          <w:szCs w:val="22"/>
        </w:rPr>
        <w:t xml:space="preserve">• DDADUE (désignation des autorités françaises) : toujours en première lecture à l'Assemblée nationale d'après des sources secondaires — non vérifié à source primaire lors de cette exécution (Legifrance requiert JavaScript).</w:t>
      </w:r>
    </w:p>
    <w:p>
      <w:pPr>
        <w:spacing w:after="80"/>
        <w:ind w:left="360"/>
      </w:pPr>
      <w:r>
        <w:rPr>
          <w:rFonts w:ascii="Calibri" w:cs="Calibri" w:eastAsia="Calibri" w:hAnsi="Calibri"/>
          <w:b w:val="false"/>
          <w:bCs w:val="false"/>
          <w:color w:val="1F2937"/>
          <w:sz w:val="22"/>
          <w:szCs w:val="22"/>
        </w:rPr>
        <w:t xml:space="preserve">• CNIL, IAPP, Conseil UE : aucune publication nouvelle dans la fenêtre 9-16 octobre 2026 concernant le règlement IA.</w:t>
      </w:r>
    </w:p>
    <w:p>
      <w:pPr>
        <w:spacing w:after="80"/>
      </w:pPr>
      <w:r>
        <w:rPr>
          <w:rFonts w:ascii="Calibri" w:cs="Calibri" w:eastAsia="Calibri" w:hAnsi="Calibri"/>
          <w:color w:val="D1D5DB"/>
          <w:sz w:val="18"/>
          <w:szCs w:val="18"/>
        </w:rPr>
        <w:t xml:space="preserve">────────────────────────────────────────────────────────────</w:t>
      </w:r>
    </w:p>
    <w:p>
      <w:pPr>
        <w:spacing w:after="120" w:before="300"/>
      </w:pPr>
      <w:r>
        <w:rPr>
          <w:rFonts w:ascii="Calibri" w:cs="Calibri" w:eastAsia="Calibri" w:hAnsi="Calibri"/>
          <w:b/>
          <w:bCs/>
          <w:color w:val="1B3A6B"/>
          <w:sz w:val="28"/>
          <w:szCs w:val="28"/>
        </w:rPr>
        <w:t xml:space="preserve">📅 Échéances réglementaires à venir</w:t>
      </w:r>
    </w:p>
    <w:p>
      <w:pPr>
        <w:spacing w:after="100"/>
      </w:pPr>
      <w:r>
        <w:rPr>
          <w:rFonts w:ascii="Calibri" w:cs="Calibri" w:eastAsia="Calibri" w:hAnsi="Calibri"/>
          <w:b w:val="false"/>
          <w:bCs w:val="false"/>
          <w:color w:val="1F2937"/>
          <w:sz w:val="22"/>
          <w:szCs w:val="22"/>
        </w:rPr>
        <w:t xml:space="preserve">Source : Service desk officiel (ai-act-service-desk.ec.europa.eu — page du calendrier). La timeline intègre les modifications apportées par le Digital Omnibus on AI.</w:t>
      </w:r>
    </w:p>
    <w:p>
      <w:pPr>
        <w:spacing w:after="80"/>
        <w:ind w:left="360"/>
      </w:pPr>
      <w:r>
        <w:rPr>
          <w:rFonts w:ascii="Calibri" w:cs="Calibri" w:eastAsia="Calibri" w:hAnsi="Calibri"/>
          <w:b w:val="false"/>
          <w:bCs w:val="false"/>
          <w:color w:val="1F2937"/>
          <w:sz w:val="22"/>
          <w:szCs w:val="22"/>
        </w:rPr>
        <w:t xml:space="preserve">• 02 décembre 2026 : Nouvelles interdictions (hypertrucages sexuels non consentis, contenus pédocriminels) + transition art. 50 §2 pour les systèmes génératifs mis sur le marché avant le 2 août 2026 (obligation de marquage des contenus synthétiques). ⚠️ Cette échéance pèse sur les FOURNISSEURS, pas sur les déployeurs comme les ESSMS.</w:t>
      </w:r>
    </w:p>
    <w:p>
      <w:pPr>
        <w:spacing w:after="80"/>
        <w:ind w:left="360"/>
      </w:pPr>
      <w:r>
        <w:rPr>
          <w:rFonts w:ascii="Calibri" w:cs="Calibri" w:eastAsia="Calibri" w:hAnsi="Calibri"/>
          <w:b w:val="false"/>
          <w:bCs w:val="false"/>
          <w:color w:val="1F2937"/>
          <w:sz w:val="22"/>
          <w:szCs w:val="22"/>
        </w:rPr>
        <w:t xml:space="preserve">• 02 août 2027 : Au moins un bac à sable réglementaire opérationnel par État membre.</w:t>
      </w:r>
    </w:p>
    <w:p>
      <w:pPr>
        <w:spacing w:after="80"/>
        <w:ind w:left="360"/>
      </w:pPr>
      <w:r>
        <w:rPr>
          <w:rFonts w:ascii="Calibri" w:cs="Calibri" w:eastAsia="Calibri" w:hAnsi="Calibri"/>
          <w:b w:val="false"/>
          <w:bCs w:val="false"/>
          <w:color w:val="1F2937"/>
          <w:sz w:val="22"/>
          <w:szCs w:val="22"/>
        </w:rPr>
        <w:t xml:space="preserve">• 02 décembre 2027 : Règles pour les systèmes IA à haut risque (Annexe III) — dont les systèmes utilisés dans les domaines de l'emploi, de l'éducation et de l'accès aux services essentiels.</w:t>
      </w:r>
    </w:p>
    <w:p>
      <w:pPr>
        <w:spacing w:after="80"/>
        <w:ind w:left="360"/>
      </w:pPr>
      <w:r>
        <w:rPr>
          <w:rFonts w:ascii="Calibri" w:cs="Calibri" w:eastAsia="Calibri" w:hAnsi="Calibri"/>
          <w:b w:val="false"/>
          <w:bCs w:val="false"/>
          <w:color w:val="1F2937"/>
          <w:sz w:val="22"/>
          <w:szCs w:val="22"/>
        </w:rPr>
        <w:t xml:space="preserve">• 02 août 2028 : Règles pour les systèmes IA à haut risque intégrés dans des produits réglementés (Annexe I).</w:t>
      </w:r>
    </w:p>
    <w:p>
      <w:pPr>
        <w:spacing w:after="80"/>
      </w:pPr>
      <w:r>
        <w:rPr>
          <w:rFonts w:ascii="Calibri" w:cs="Calibri" w:eastAsia="Calibri" w:hAnsi="Calibri"/>
          <w:color w:val="D1D5DB"/>
          <w:sz w:val="18"/>
          <w:szCs w:val="18"/>
        </w:rPr>
        <w:t xml:space="preserve">────────────────────────────────────────────────────────────</w:t>
      </w:r>
    </w:p>
    <w:p>
      <w:pPr>
        <w:spacing w:after="120" w:before="300"/>
      </w:pPr>
      <w:r>
        <w:rPr>
          <w:rFonts w:ascii="Calibri" w:cs="Calibri" w:eastAsia="Calibri" w:hAnsi="Calibri"/>
          <w:b/>
          <w:bCs/>
          <w:color w:val="1B3A6B"/>
          <w:sz w:val="28"/>
          <w:szCs w:val="28"/>
        </w:rPr>
        <w:t xml:space="preserve">🏛️ Actualité officielle UE</w:t>
      </w:r>
    </w:p>
    <w:p>
      <w:pPr>
        <w:spacing w:after="100"/>
      </w:pPr>
      <w:r>
        <w:rPr>
          <w:rFonts w:ascii="Calibri" w:cs="Calibri" w:eastAsia="Calibri" w:hAnsi="Calibri"/>
          <w:b/>
          <w:bCs/>
          <w:color w:val="1F2937"/>
          <w:sz w:val="22"/>
          <w:szCs w:val="22"/>
        </w:rPr>
        <w:t xml:space="preserve">Commission européenne — digital-strategy.ec.europa.eu</w:t>
      </w:r>
    </w:p>
    <w:p>
      <w:pPr>
        <w:spacing w:after="100"/>
      </w:pPr>
      <w:r>
        <w:rPr>
          <w:rFonts w:ascii="Calibri" w:cs="Calibri" w:eastAsia="Calibri" w:hAnsi="Calibri"/>
          <w:b w:val="false"/>
          <w:bCs w:val="false"/>
          <w:color w:val="1F2937"/>
          <w:sz w:val="22"/>
          <w:szCs w:val="22"/>
        </w:rPr>
        <w:t xml:space="preserve">Article 1 — Lu en entier</w:t>
      </w:r>
    </w:p>
    <w:p>
      <w:pPr>
        <w:spacing w:after="100"/>
      </w:pPr>
      <w:hyperlink w:history="1" r:id="rIdm-tfn2dwkr4lzixcahikv">
        <w:r>
          <w:rPr>
            <w:rFonts w:ascii="Calibri" w:cs="Calibri" w:eastAsia="Calibri" w:hAnsi="Calibri"/>
            <w:color w:val="1155CC"/>
            <w:sz w:val="22"/>
            <w:szCs w:val="22"/>
            <w:u w:val="single"/>
          </w:rPr>
          <w:t xml:space="preserve">Special meeting of the AI Scientific Panel</w:t>
        </w:r>
      </w:hyperlink>
      <w:r>
        <w:rPr>
          <w:rFonts w:ascii="Calibri" w:cs="Calibri" w:eastAsia="Calibri" w:hAnsi="Calibri"/>
          <w:color w:val="1F2937"/>
          <w:sz w:val="22"/>
          <w:szCs w:val="22"/>
        </w:rPr>
        <w:t xml:space="preserve"> — Publié le 12 octobre 2026 · 3 995 caractères</w:t>
      </w:r>
    </w:p>
    <w:p>
      <w:pPr>
        <w:spacing w:after="100"/>
      </w:pPr>
      <w:r>
        <w:rPr>
          <w:rFonts w:ascii="Calibri" w:cs="Calibri" w:eastAsia="Calibri" w:hAnsi="Calibri"/>
          <w:b w:val="false"/>
          <w:bCs w:val="false"/>
          <w:color w:val="1F2937"/>
          <w:sz w:val="22"/>
          <w:szCs w:val="22"/>
        </w:rPr>
        <w:t xml:space="preserve">Compte rendu de la réunion du 9 octobre 2026. Le panel a examiné deux sujets principaux : (1) les incidents récents de perte de contrôle (loss-of-control incidents) — le panel et le Bureau de l'IA ont travaillé sur un jeu de questions adressé aux entreprises qui ont développé les modèles impliqués ; la Commission a déjà reçu des rapports d'incidents graves et envoyé des demandes d'information sur les pratiques de sécurité ; (2) les développements techniques liés à la monitorabilité des modèles et à l'amélioration récursive de l'IA.</w:t>
      </w:r>
    </w:p>
    <w:p>
      <w:pPr>
        <w:spacing w:after="100"/>
      </w:pPr>
      <w:r>
        <w:rPr>
          <w:rFonts w:ascii="Calibri" w:cs="Calibri" w:eastAsia="Calibri" w:hAnsi="Calibri"/>
          <w:b w:val="false"/>
          <w:bCs w:val="false"/>
          <w:color w:val="1F2937"/>
          <w:sz w:val="22"/>
          <w:szCs w:val="22"/>
        </w:rPr>
        <w:t xml:space="preserve">Le président du panel a présenté quatre recommandations à la Commission :</w:t>
      </w:r>
    </w:p>
    <w:p>
      <w:pPr>
        <w:spacing w:after="80"/>
        <w:ind w:left="720"/>
      </w:pPr>
      <w:r>
        <w:rPr>
          <w:rFonts w:ascii="Calibri" w:cs="Calibri" w:eastAsia="Calibri" w:hAnsi="Calibri"/>
          <w:b w:val="false"/>
          <w:bCs w:val="false"/>
          <w:color w:val="1F2937"/>
          <w:sz w:val="22"/>
          <w:szCs w:val="22"/>
        </w:rPr>
        <w:t xml:space="preserve">• ensure governance of the risk posed by internal models during development activities and deployment for testing</w:t>
      </w:r>
    </w:p>
    <w:p>
      <w:pPr>
        <w:spacing w:after="80"/>
        <w:ind w:left="720"/>
      </w:pPr>
      <w:r>
        <w:rPr>
          <w:rFonts w:ascii="Calibri" w:cs="Calibri" w:eastAsia="Calibri" w:hAnsi="Calibri"/>
          <w:b w:val="false"/>
          <w:bCs w:val="false"/>
          <w:color w:val="1F2937"/>
          <w:sz w:val="22"/>
          <w:szCs w:val="22"/>
        </w:rPr>
        <w:t xml:space="preserve">• strengthen EU capabilities related to detection, evaluation and investigation of incidents of this nature (e.g., via a task force, preparing the technical and procedural groundwork for future investigations)</w:t>
      </w:r>
    </w:p>
    <w:p>
      <w:pPr>
        <w:spacing w:after="80"/>
        <w:ind w:left="720"/>
      </w:pPr>
      <w:r>
        <w:rPr>
          <w:rFonts w:ascii="Calibri" w:cs="Calibri" w:eastAsia="Calibri" w:hAnsi="Calibri"/>
          <w:b w:val="false"/>
          <w:bCs w:val="false"/>
          <w:color w:val="1F2937"/>
          <w:sz w:val="22"/>
          <w:szCs w:val="22"/>
        </w:rPr>
        <w:t xml:space="preserve">• establish an international initiative to facilitate information-sharing and common requirements for frontier AI developers, as well as joint crisis response and prevention</w:t>
      </w:r>
    </w:p>
    <w:p>
      <w:pPr>
        <w:spacing w:after="80"/>
        <w:ind w:left="720"/>
      </w:pPr>
      <w:r>
        <w:rPr>
          <w:rFonts w:ascii="Calibri" w:cs="Calibri" w:eastAsia="Calibri" w:hAnsi="Calibri"/>
          <w:b w:val="false"/>
          <w:bCs w:val="false"/>
          <w:color w:val="1F2937"/>
          <w:sz w:val="22"/>
          <w:szCs w:val="22"/>
        </w:rPr>
        <w:t xml:space="preserve">• ensure enhanced scrutiny of training techniques and architectures that reduce monitorability, given the risks they present</w:t>
      </w:r>
    </w:p>
    <w:p>
      <w:pPr>
        <w:spacing w:after="100"/>
      </w:pPr>
      <w:r>
        <w:rPr>
          <w:rFonts w:ascii="Calibri" w:cs="Calibri" w:eastAsia="Calibri" w:hAnsi="Calibri"/>
          <w:b w:val="false"/>
          <w:bCs w:val="false"/>
          <w:color w:val="1F2937"/>
          <w:sz w:val="22"/>
          <w:szCs w:val="22"/>
        </w:rPr>
        <w:t xml:space="preserve">Suite : the Commission will send requests for information with the combined questions of the panel and the AI Office to further investigate these incidents.</w:t>
      </w:r>
    </w:p>
    <w:p/>
    <w:p>
      <w:pPr>
        <w:spacing w:after="100"/>
      </w:pPr>
      <w:r>
        <w:rPr>
          <w:rFonts w:ascii="Calibri" w:cs="Calibri" w:eastAsia="Calibri" w:hAnsi="Calibri"/>
          <w:b w:val="false"/>
          <w:bCs w:val="false"/>
          <w:color w:val="1F2937"/>
          <w:sz w:val="22"/>
          <w:szCs w:val="22"/>
        </w:rPr>
        <w:t xml:space="preserve">Article 2 — Lu en entier</w:t>
      </w:r>
    </w:p>
    <w:p>
      <w:pPr>
        <w:spacing w:after="100"/>
      </w:pPr>
      <w:hyperlink w:history="1" r:id="rIdgk7xgbmzz8xwjtyoq3v-i">
        <w:r>
          <w:rPr>
            <w:rFonts w:ascii="Calibri" w:cs="Calibri" w:eastAsia="Calibri" w:hAnsi="Calibri"/>
            <w:color w:val="1155CC"/>
            <w:sz w:val="22"/>
            <w:szCs w:val="22"/>
            <w:u w:val="single"/>
          </w:rPr>
          <w:t xml:space="preserve">Commission holds special meeting of Scientific panel on frontier AI safety and risks</w:t>
        </w:r>
      </w:hyperlink>
      <w:r>
        <w:rPr>
          <w:rFonts w:ascii="Calibri" w:cs="Calibri" w:eastAsia="Calibri" w:hAnsi="Calibri"/>
          <w:color w:val="1F2937"/>
          <w:sz w:val="22"/>
          <w:szCs w:val="22"/>
        </w:rPr>
        <w:t xml:space="preserve"> — Communiqué de presse · 2 982 caractères</w:t>
      </w:r>
    </w:p>
    <w:p>
      <w:pPr>
        <w:spacing w:after="100"/>
      </w:pPr>
      <w:r>
        <w:rPr>
          <w:rFonts w:ascii="Calibri" w:cs="Calibri" w:eastAsia="Calibri" w:hAnsi="Calibri"/>
          <w:b w:val="false"/>
          <w:bCs w:val="false"/>
          <w:color w:val="1F2937"/>
          <w:sz w:val="22"/>
          <w:szCs w:val="22"/>
        </w:rPr>
        <w:t xml:space="preserve">Date ambiguë : la page de cet article affiche « Publication 09 October 2026 » ; la liste de digital-strategy.ec.europa.eu et l'article de suivi du 12 oct le citent tous deux avec la date du 05 octobre 2026. Ce communiqué a été couvert dans l'édition du 09/10/2026 (édition corrigée). Repris ici pour la cohérence du fil.</w:t>
      </w:r>
    </w:p>
    <w:p>
      <w:pPr>
        <w:spacing w:after="100"/>
      </w:pPr>
      <w:r>
        <w:rPr>
          <w:rFonts w:ascii="Calibri" w:cs="Calibri" w:eastAsia="Calibri" w:hAnsi="Calibri"/>
          <w:b w:val="false"/>
          <w:bCs w:val="false"/>
          <w:color w:val="1F2937"/>
          <w:sz w:val="22"/>
          <w:szCs w:val="22"/>
        </w:rPr>
        <w:t xml:space="preserve">Citation exacte de Henna Virkkunen (extrait de la page de ce communiqué) : "The EU has the first law in the world that addresses systemic risk from AI, and we need state-of-the-art scientific input."</w:t>
      </w:r>
    </w:p>
    <w:p/>
    <w:p>
      <w:pPr>
        <w:spacing w:after="100"/>
      </w:pPr>
      <w:r>
        <w:rPr>
          <w:rFonts w:ascii="Calibri" w:cs="Calibri" w:eastAsia="Calibri" w:hAnsi="Calibri"/>
          <w:b/>
          <w:bCs/>
          <w:color w:val="1F2937"/>
          <w:sz w:val="22"/>
          <w:szCs w:val="22"/>
        </w:rPr>
        <w:t xml:space="preserve">Conseil de l'UE</w:t>
      </w:r>
    </w:p>
    <w:p>
      <w:pPr>
        <w:spacing w:after="100"/>
      </w:pPr>
      <w:r>
        <w:rPr>
          <w:rFonts w:ascii="Calibri" w:cs="Calibri" w:eastAsia="Calibri" w:hAnsi="Calibri"/>
          <w:b w:val="false"/>
          <w:bCs w:val="false"/>
          <w:color w:val="1F2937"/>
          <w:sz w:val="22"/>
          <w:szCs w:val="22"/>
        </w:rPr>
        <w:t xml:space="preserve">⛔ consilium.europa.eu/en/press/press-releases/ — HTTP 403. Fallback WebSearch : les communications du Conseil dans la fenêtre portent sur le Conseil européen des 15-16 oct (compétitivité, Ukraine, migration), sans item relatif au règlement IA identifié.</w:t>
      </w:r>
    </w:p>
    <w:p>
      <w:pPr>
        <w:spacing w:after="100"/>
      </w:pPr>
      <w:r>
        <w:rPr>
          <w:rFonts w:ascii="Calibri" w:cs="Calibri" w:eastAsia="Calibri" w:hAnsi="Calibri"/>
          <w:b/>
          <w:bCs/>
          <w:color w:val="1F2937"/>
          <w:sz w:val="22"/>
          <w:szCs w:val="22"/>
        </w:rPr>
        <w:t xml:space="preserve">Calendrier d'application (Service desk)</w:t>
      </w:r>
    </w:p>
    <w:p>
      <w:pPr>
        <w:spacing w:after="100"/>
      </w:pPr>
      <w:hyperlink w:history="1" r:id="rIduwsplab2sn7j6dasimise">
        <w:r>
          <w:rPr>
            <w:rFonts w:ascii="Calibri" w:cs="Calibri" w:eastAsia="Calibri" w:hAnsi="Calibri"/>
            <w:color w:val="1155CC"/>
            <w:sz w:val="22"/>
            <w:szCs w:val="22"/>
            <w:u w:val="single"/>
          </w:rPr>
          <w:t xml:space="preserve">Timeline for the Implementation of the EU AI Act</w:t>
        </w:r>
      </w:hyperlink>
      <w:r>
        <w:rPr>
          <w:rFonts w:ascii="Calibri" w:cs="Calibri" w:eastAsia="Calibri" w:hAnsi="Calibri"/>
          <w:color w:val="1F2937"/>
          <w:sz w:val="22"/>
          <w:szCs w:val="22"/>
        </w:rPr>
        <w:t xml:space="preserve"> — Consulté. Timeline stable ; les quatre jalons 2026-2028 confirmés.</w:t>
      </w:r>
    </w:p>
    <w:p>
      <w:pPr>
        <w:spacing w:after="80"/>
      </w:pPr>
      <w:r>
        <w:rPr>
          <w:rFonts w:ascii="Calibri" w:cs="Calibri" w:eastAsia="Calibri" w:hAnsi="Calibri"/>
          <w:color w:val="D1D5DB"/>
          <w:sz w:val="18"/>
          <w:szCs w:val="18"/>
        </w:rPr>
        <w:t xml:space="preserve">────────────────────────────────────────────────────────────</w:t>
      </w:r>
    </w:p>
    <w:p>
      <w:pPr>
        <w:spacing w:after="120" w:before="300"/>
      </w:pPr>
      <w:r>
        <w:rPr>
          <w:rFonts w:ascii="Calibri" w:cs="Calibri" w:eastAsia="Calibri" w:hAnsi="Calibri"/>
          <w:b/>
          <w:bCs/>
          <w:color w:val="1B3A6B"/>
          <w:sz w:val="28"/>
          <w:szCs w:val="28"/>
        </w:rPr>
        <w:t xml:space="preserve">📰 Analyses &amp; Gouvernance</w:t>
      </w:r>
    </w:p>
    <w:p>
      <w:pPr>
        <w:spacing w:after="100"/>
      </w:pPr>
      <w:r>
        <w:rPr>
          <w:rFonts w:ascii="Calibri" w:cs="Calibri" w:eastAsia="Calibri" w:hAnsi="Calibri"/>
          <w:b/>
          <w:bCs/>
          <w:color w:val="1F2937"/>
          <w:sz w:val="22"/>
          <w:szCs w:val="22"/>
        </w:rPr>
        <w:t xml:space="preserve">artificialintelligenceact.eu (Future of Life Institute)</w:t>
      </w:r>
    </w:p>
    <w:p>
      <w:pPr>
        <w:spacing w:after="100"/>
      </w:pPr>
      <w:hyperlink w:history="1" r:id="rIdeer3rfbfqb9mkdzwtr1md">
        <w:r>
          <w:rPr>
            <w:rFonts w:ascii="Calibri" w:cs="Calibri" w:eastAsia="Calibri" w:hAnsi="Calibri"/>
            <w:color w:val="1155CC"/>
            <w:sz w:val="22"/>
            <w:szCs w:val="22"/>
            <w:u w:val="single"/>
          </w:rPr>
          <w:t xml:space="preserve">artificialintelligenceact.eu</w:t>
        </w:r>
      </w:hyperlink>
      <w:r>
        <w:rPr>
          <w:rFonts w:ascii="Calibri" w:cs="Calibri" w:eastAsia="Calibri" w:hAnsi="Calibri"/>
          <w:color w:val="1F2937"/>
          <w:sz w:val="22"/>
          <w:szCs w:val="22"/>
        </w:rPr>
        <w:t xml:space="preserve"> — Consultée. 16 208 caractères de texte (balises et scripts retirés). Page d'accueil : outils de conformité, ressources, guides. Aucune date dans la fenêtre 9-16 octobre 2026 n'est visible dans les 4 000 premiers caractères du texte produit par la commande de normalisation.</w:t>
      </w:r>
    </w:p>
    <w:p>
      <w:pPr>
        <w:spacing w:after="100"/>
      </w:pPr>
      <w:r>
        <w:rPr>
          <w:rFonts w:ascii="Calibri" w:cs="Calibri" w:eastAsia="Calibri" w:hAnsi="Calibri"/>
          <w:b/>
          <w:bCs/>
          <w:color w:val="1F2937"/>
          <w:sz w:val="22"/>
          <w:szCs w:val="22"/>
        </w:rPr>
        <w:t xml:space="preserve">IAPP — iapp.org/news/</w:t>
      </w:r>
    </w:p>
    <w:p>
      <w:pPr>
        <w:spacing w:after="100"/>
      </w:pPr>
      <w:hyperlink w:history="1" r:id="rIdiaq_stixz0htleqeoruog">
        <w:r>
          <w:rPr>
            <w:rFonts w:ascii="Calibri" w:cs="Calibri" w:eastAsia="Calibri" w:hAnsi="Calibri"/>
            <w:color w:val="1155CC"/>
            <w:sz w:val="22"/>
            <w:szCs w:val="22"/>
            <w:u w:val="single"/>
          </w:rPr>
          <w:t xml:space="preserve">IAPP News</w:t>
        </w:r>
      </w:hyperlink>
      <w:r>
        <w:rPr>
          <w:rFonts w:ascii="Calibri" w:cs="Calibri" w:eastAsia="Calibri" w:hAnsi="Calibri"/>
          <w:color w:val="1F2937"/>
          <w:sz w:val="22"/>
          <w:szCs w:val="22"/>
        </w:rPr>
        <w:t xml:space="preserve"> — Index consulté (4 298 caractères avec agent de navigateur). Vingt titres avec dates visibles. Articles dans la fenêtre 9-16 oct : deux publics, deux MEMBER.</w:t>
      </w:r>
    </w:p>
    <w:p>
      <w:pPr>
        <w:spacing w:after="100"/>
      </w:pPr>
      <w:r>
        <w:rPr>
          <w:rFonts w:ascii="Calibri" w:cs="Calibri" w:eastAsia="Calibri" w:hAnsi="Calibri"/>
          <w:b w:val="false"/>
          <w:bCs w:val="false"/>
          <w:color w:val="1F2937"/>
          <w:sz w:val="22"/>
          <w:szCs w:val="22"/>
        </w:rPr>
        <w:t xml:space="preserve">Article 3 — Lu en entier</w:t>
      </w:r>
    </w:p>
    <w:p>
      <w:pPr>
        <w:spacing w:after="100"/>
      </w:pPr>
      <w:hyperlink w:history="1" r:id="rIdaqi1ymybw464vsotvhwha">
        <w:r>
          <w:rPr>
            <w:rFonts w:ascii="Calibri" w:cs="Calibri" w:eastAsia="Calibri" w:hAnsi="Calibri"/>
            <w:color w:val="1155CC"/>
            <w:sz w:val="22"/>
            <w:szCs w:val="22"/>
            <w:u w:val="single"/>
          </w:rPr>
          <w:t xml:space="preserve">A view from Brussels: Is governance better served by legal uncertainty?</w:t>
        </w:r>
      </w:hyperlink>
      <w:r>
        <w:rPr>
          <w:rFonts w:ascii="Calibri" w:cs="Calibri" w:eastAsia="Calibri" w:hAnsi="Calibri"/>
          <w:color w:val="1F2937"/>
          <w:sz w:val="22"/>
          <w:szCs w:val="22"/>
        </w:rPr>
        <w:t xml:space="preserve"> — Isabelle Roccia, IAPP · 15 oct 2026 · 5 602 caractères</w:t>
      </w:r>
    </w:p>
    <w:p>
      <w:pPr>
        <w:spacing w:after="100"/>
      </w:pPr>
      <w:r>
        <w:rPr>
          <w:rFonts w:ascii="Calibri" w:cs="Calibri" w:eastAsia="Calibri" w:hAnsi="Calibri"/>
          <w:b w:val="false"/>
          <w:bCs w:val="false"/>
          <w:color w:val="1F2937"/>
          <w:sz w:val="22"/>
          <w:szCs w:val="22"/>
        </w:rPr>
        <w:t xml:space="preserve">⚠️ Corps de l'article hors périmètre de cette veille : traite du RGPD uniquement (débat sur l'art. 39 RGPD, rôle du DPO, à partir d'un KnowledgeNet de Munich). Sujet : interprétation du RGPD, incertitude juridique vs. adaptabilité de la gouvernance. Non retenu comme fait marquant pour cette édition.</w:t>
      </w:r>
    </w:p>
    <w:p/>
    <w:p>
      <w:pPr>
        <w:spacing w:after="100"/>
      </w:pPr>
      <w:r>
        <w:rPr>
          <w:rFonts w:ascii="Calibri" w:cs="Calibri" w:eastAsia="Calibri" w:hAnsi="Calibri"/>
          <w:b w:val="false"/>
          <w:bCs w:val="false"/>
          <w:color w:val="1F2937"/>
          <w:sz w:val="22"/>
          <w:szCs w:val="22"/>
        </w:rPr>
        <w:t xml:space="preserve">Article 4 — Introduction lue (MEMBER)</w:t>
      </w:r>
    </w:p>
    <w:p>
      <w:pPr>
        <w:spacing w:after="100"/>
      </w:pPr>
      <w:hyperlink w:history="1" r:id="rIdmo185u7rnb6pbv6cbgqj7">
        <w:r>
          <w:rPr>
            <w:rFonts w:ascii="Calibri" w:cs="Calibri" w:eastAsia="Calibri" w:hAnsi="Calibri"/>
            <w:color w:val="1155CC"/>
            <w:sz w:val="22"/>
            <w:szCs w:val="22"/>
            <w:u w:val="single"/>
          </w:rPr>
          <w:t xml:space="preserve">When AI hallucinates facts about individuals: Personal data and accuracy under the GDPR</w:t>
        </w:r>
      </w:hyperlink>
      <w:r>
        <w:rPr>
          <w:rFonts w:ascii="Calibri" w:cs="Calibri" w:eastAsia="Calibri" w:hAnsi="Calibri"/>
          <w:color w:val="1F2937"/>
          <w:sz w:val="22"/>
          <w:szCs w:val="22"/>
        </w:rPr>
        <w:t xml:space="preserve"> — Per Meyerdierks &amp; Marek Steffen Jansen · 14 oct 2026 · 4 461 caractères (intro visible)</w:t>
      </w:r>
    </w:p>
    <w:p>
      <w:pPr>
        <w:spacing w:after="100"/>
      </w:pPr>
      <w:r>
        <w:rPr>
          <w:rFonts w:ascii="Calibri" w:cs="Calibri" w:eastAsia="Calibri" w:hAnsi="Calibri"/>
          <w:b w:val="false"/>
          <w:bCs w:val="false"/>
          <w:color w:val="1F2937"/>
          <w:sz w:val="22"/>
          <w:szCs w:val="22"/>
        </w:rPr>
        <w:t xml:space="preserve">⚠️ MEMBER — corps non accessible. Introduction : plainte NOYB contre OpenAI (mars 2025) devant la DPC irlandaise suite à des hallucinations de ChatGPT. Question centrale : une hallucination sur une personne identifiable constitue-t-elle une violation du principe d'exactitude de l'art. 5(1)(d) RGPD ? Sujet RGPD, sans contenu du règlement IA lisible.</w:t>
      </w:r>
    </w:p>
    <w:p/>
    <w:p>
      <w:pPr>
        <w:spacing w:after="100"/>
      </w:pPr>
      <w:r>
        <w:rPr>
          <w:rFonts w:ascii="Calibri" w:cs="Calibri" w:eastAsia="Calibri" w:hAnsi="Calibri"/>
          <w:b w:val="false"/>
          <w:bCs w:val="false"/>
          <w:color w:val="1F2937"/>
          <w:sz w:val="22"/>
          <w:szCs w:val="22"/>
        </w:rPr>
        <w:t xml:space="preserve">Article 5 — Titre et date seulement (MEMBER)</w:t>
      </w:r>
    </w:p>
    <w:p>
      <w:pPr>
        <w:spacing w:after="100"/>
      </w:pPr>
      <w:r>
        <w:rPr>
          <w:rFonts w:ascii="Calibri" w:cs="Calibri" w:eastAsia="Calibri" w:hAnsi="Calibri"/>
          <w:b w:val="false"/>
          <w:bCs w:val="false"/>
          <w:color w:val="1F2937"/>
          <w:sz w:val="22"/>
          <w:szCs w:val="22"/>
        </w:rPr>
        <w:t xml:space="preserve">IAPP · "Mind the gap: IC sets expectations for AI model developers, how this differs from the EDPB" · 14 oct 2026 · MEMBER — corps non accessible. Titre potentiellement adjacent au règlement IA.</w:t>
      </w:r>
    </w:p>
    <w:p>
      <w:pPr>
        <w:spacing w:after="80"/>
      </w:pPr>
      <w:r>
        <w:rPr>
          <w:rFonts w:ascii="Calibri" w:cs="Calibri" w:eastAsia="Calibri" w:hAnsi="Calibri"/>
          <w:color w:val="D1D5DB"/>
          <w:sz w:val="18"/>
          <w:szCs w:val="18"/>
        </w:rPr>
        <w:t xml:space="preserve">────────────────────────────────────────────────────────────</w:t>
      </w:r>
    </w:p>
    <w:p>
      <w:pPr>
        <w:spacing w:after="120" w:before="300"/>
      </w:pPr>
      <w:r>
        <w:rPr>
          <w:rFonts w:ascii="Calibri" w:cs="Calibri" w:eastAsia="Calibri" w:hAnsi="Calibri"/>
          <w:b/>
          <w:bCs/>
          <w:color w:val="1B3A6B"/>
          <w:sz w:val="28"/>
          <w:szCs w:val="28"/>
        </w:rPr>
        <w:t xml:space="preserve">🇫🇷 Perspective française (CNIL / RGPD)</w:t>
      </w:r>
    </w:p>
    <w:p>
      <w:pPr>
        <w:spacing w:after="100"/>
      </w:pPr>
      <w:r>
        <w:rPr>
          <w:rFonts w:ascii="Calibri" w:cs="Calibri" w:eastAsia="Calibri" w:hAnsi="Calibri"/>
          <w:b/>
          <w:bCs/>
          <w:color w:val="1F2937"/>
          <w:sz w:val="22"/>
          <w:szCs w:val="22"/>
        </w:rPr>
        <w:t xml:space="preserve">CNIL — Rubrique intelligence artificielle</w:t>
      </w:r>
    </w:p>
    <w:p>
      <w:pPr>
        <w:spacing w:after="100"/>
      </w:pPr>
      <w:hyperlink w:history="1" r:id="rIdhzygvjl1maqcywaujsfvm">
        <w:r>
          <w:rPr>
            <w:rFonts w:ascii="Calibri" w:cs="Calibri" w:eastAsia="Calibri" w:hAnsi="Calibri"/>
            <w:color w:val="1155CC"/>
            <w:sz w:val="22"/>
            <w:szCs w:val="22"/>
            <w:u w:val="single"/>
          </w:rPr>
          <w:t xml:space="preserve">CNIL — Intelligence artificielle</w:t>
        </w:r>
      </w:hyperlink>
      <w:r>
        <w:rPr>
          <w:rFonts w:ascii="Calibri" w:cs="Calibri" w:eastAsia="Calibri" w:hAnsi="Calibri"/>
          <w:color w:val="1F2937"/>
          <w:sz w:val="22"/>
          <w:szCs w:val="22"/>
        </w:rPr>
        <w:t xml:space="preserve"> — Consultée. Dernier article daté : 26 août 2026. Aucun élément nouveau dans la fenêtre 9-16 octobre 2026.</w:t>
      </w:r>
    </w:p>
    <w:p>
      <w:pPr>
        <w:spacing w:after="100"/>
      </w:pPr>
      <w:r>
        <w:rPr>
          <w:rFonts w:ascii="Calibri" w:cs="Calibri" w:eastAsia="Calibri" w:hAnsi="Calibri"/>
          <w:b/>
          <w:bCs/>
          <w:color w:val="1F2937"/>
          <w:sz w:val="22"/>
          <w:szCs w:val="22"/>
        </w:rPr>
        <w:t xml:space="preserve">CNIL — Q&amp;R sur le règlement européen sur l'IA</w:t>
      </w:r>
    </w:p>
    <w:p>
      <w:pPr>
        <w:spacing w:after="100"/>
      </w:pPr>
      <w:hyperlink w:history="1" r:id="rIdlupebdjskiqyj-r3jwthg">
        <w:r>
          <w:rPr>
            <w:rFonts w:ascii="Calibri" w:cs="Calibri" w:eastAsia="Calibri" w:hAnsi="Calibri"/>
            <w:color w:val="1155CC"/>
            <w:sz w:val="22"/>
            <w:szCs w:val="22"/>
            <w:u w:val="single"/>
          </w:rPr>
          <w:t xml:space="preserve">Entrée en vigueur du règlement européen sur l'IA : les premières questions-réponses de la CNIL</w:t>
        </w:r>
      </w:hyperlink>
      <w:r>
        <w:rPr>
          <w:rFonts w:ascii="Calibri" w:cs="Calibri" w:eastAsia="Calibri" w:hAnsi="Calibri"/>
          <w:color w:val="1F2937"/>
          <w:sz w:val="22"/>
          <w:szCs w:val="22"/>
        </w:rPr>
        <w:t xml:space="preserve"> — Mise à jour le 17 août 2026 · 26 012 caractères. Aucune modification dans la fenêtre.</w:t>
      </w:r>
    </w:p>
    <w:p>
      <w:pPr>
        <w:spacing w:after="100"/>
      </w:pPr>
      <w:r>
        <w:rPr>
          <w:rFonts w:ascii="Calibri" w:cs="Calibri" w:eastAsia="Calibri" w:hAnsi="Calibri"/>
          <w:b w:val="false"/>
          <w:bCs w:val="false"/>
          <w:color w:val="1F2937"/>
          <w:sz w:val="22"/>
          <w:szCs w:val="22"/>
        </w:rPr>
        <w:t xml:space="preserve">Vérification réglementaire effectuée sur cette page (17 août 2026) :</w:t>
      </w:r>
    </w:p>
    <w:p>
      <w:pPr>
        <w:spacing w:after="80"/>
        <w:ind w:left="720"/>
      </w:pPr>
      <w:r>
        <w:rPr>
          <w:rFonts w:ascii="Calibri" w:cs="Calibri" w:eastAsia="Calibri" w:hAnsi="Calibri"/>
          <w:b w:val="false"/>
          <w:bCs w:val="false"/>
          <w:color w:val="1F2937"/>
          <w:sz w:val="22"/>
          <w:szCs w:val="22"/>
        </w:rPr>
        <w:t xml:space="preserve">• Règlement (UE) 2024/1689 : lien EUR-Lex OJ:L_202401689 présent dans le HTML de la page (href vérifié).</w:t>
      </w:r>
    </w:p>
    <w:p>
      <w:pPr>
        <w:spacing w:after="80"/>
        <w:ind w:left="720"/>
      </w:pPr>
      <w:r>
        <w:rPr>
          <w:rFonts w:ascii="Calibri" w:cs="Calibri" w:eastAsia="Calibri" w:hAnsi="Calibri"/>
          <w:b w:val="false"/>
          <w:bCs w:val="false"/>
          <w:color w:val="1F2937"/>
          <w:sz w:val="22"/>
          <w:szCs w:val="22"/>
        </w:rPr>
        <w:t xml:space="preserve">• Règlement (UE) 2026/1744 : lien EUR-Lex OJ:L_202601744 présent dans le HTML de la page (href vérifié). La CNIL nomme ce règlement omnibus VII ; le cadrage de ce job utilise le terme omnibus IA — il s'agit du même acte.</w:t>
      </w:r>
    </w:p>
    <w:p>
      <w:pPr>
        <w:spacing w:after="80"/>
        <w:ind w:left="720"/>
      </w:pPr>
      <w:r>
        <w:rPr>
          <w:rFonts w:ascii="Calibri" w:cs="Calibri" w:eastAsia="Calibri" w:hAnsi="Calibri"/>
          <w:b w:val="false"/>
          <w:bCs w:val="false"/>
          <w:color w:val="1F2937"/>
          <w:sz w:val="22"/>
          <w:szCs w:val="22"/>
        </w:rPr>
        <w:t xml:space="preserve">• Dates (texte de la CNIL) : "Une version amendée du RIA a été adopté le 24 juillet 2026 et est entrée en vigueur le 27 juillet 2026." La CNIL donne le 24 juillet comme date d'adoption (date de publication au JOUE). Le cadrage de ce job mentionne une date d'acte du 8 juillet 2026, non revérifiable lors de cette exécution (EUR-Lex : HTTP 202, corps 0 octet).</w:t>
      </w:r>
    </w:p>
    <w:p>
      <w:pPr>
        <w:spacing w:after="80"/>
        <w:ind w:left="720"/>
      </w:pPr>
      <w:r>
        <w:rPr>
          <w:rFonts w:ascii="Calibri" w:cs="Calibri" w:eastAsia="Calibri" w:hAnsi="Calibri"/>
          <w:b w:val="false"/>
          <w:bCs w:val="false"/>
          <w:color w:val="1F2937"/>
          <w:sz w:val="22"/>
          <w:szCs w:val="22"/>
        </w:rPr>
        <w:t xml:space="preserve">• ⛔ EUR-Lex (CELEX:32026R1744) — HTTP 202, corps vide (0 octet). Confirmé lors de cette exécution.</w:t>
      </w:r>
    </w:p>
    <w:p>
      <w:pPr>
        <w:spacing w:after="100"/>
      </w:pPr>
      <w:r>
        <w:rPr>
          <w:rFonts w:ascii="Calibri" w:cs="Calibri" w:eastAsia="Calibri" w:hAnsi="Calibri"/>
          <w:b/>
          <w:bCs/>
          <w:color w:val="1F2937"/>
          <w:sz w:val="22"/>
          <w:szCs w:val="22"/>
        </w:rPr>
        <w:t xml:space="preserve">Désignation des autorités françaises compétentes — DDADUE (non vérifié à source primaire lors de cette exécution)</w:t>
      </w:r>
    </w:p>
    <w:p>
      <w:pPr>
        <w:spacing w:after="100"/>
      </w:pPr>
      <w:r>
        <w:rPr>
          <w:rFonts w:ascii="Calibri" w:cs="Calibri" w:eastAsia="Calibri" w:hAnsi="Calibri"/>
          <w:b w:val="false"/>
          <w:bCs w:val="false"/>
          <w:color w:val="1F2937"/>
          <w:sz w:val="22"/>
          <w:szCs w:val="22"/>
        </w:rPr>
        <w:t xml:space="preserve">Legifrance.gouv.fr requiert JavaScript (retour : 44 caractères). Sources secondaires consultées via WebSearch signalent que le DDADUE (volet numérique) serait toujours en première lecture à l'Assemblée nationale après adoption par le Sénat le 18 février 2026. La France n'aurait pas encore officiellement désigné ses autorités nationales compétentes au titre du règlement IA. Ces informations sont issues de sources secondaires non identifiées dans la trace de cette exécution, et sont non vérifiées à une source primaire (https://www.legifrance.gouv.fr, https://www.senat.fr ou https://www.assemblee-nationale.fr).</w:t>
      </w:r>
      <w:r>
        <w:rPr>
          <w:rFonts w:ascii="Times New Roman" w:cs="Times New Roman" w:eastAsia="Times New Roman" w:hAnsi="Times New Roman"/>
          <w:i/>
          <w:iCs/>
          <w:color w:val="6B7280"/>
          <w:sz w:val="20"/>
          <w:szCs w:val="20"/>
        </w:rPr>
        <w:t xml:space="preserve">   [Corrigé le 16/10/2026 : la réserve est désormais explicite — « non vérifiées » — et l'absence d'identification des sources secondaires est dite. Libellé d'origine au journal.]</w:t>
      </w:r>
    </w:p>
    <w:p>
      <w:pPr>
        <w:spacing w:after="80"/>
      </w:pPr>
      <w:r>
        <w:rPr>
          <w:rFonts w:ascii="Calibri" w:cs="Calibri" w:eastAsia="Calibri" w:hAnsi="Calibri"/>
          <w:color w:val="D1D5DB"/>
          <w:sz w:val="18"/>
          <w:szCs w:val="18"/>
        </w:rPr>
        <w:t xml:space="preserve">────────────────────────────────────────────────────────────</w:t>
      </w:r>
    </w:p>
    <w:p>
      <w:pPr>
        <w:spacing w:after="120" w:before="300"/>
      </w:pPr>
      <w:r>
        <w:rPr>
          <w:rFonts w:ascii="Calibri" w:cs="Calibri" w:eastAsia="Calibri" w:hAnsi="Calibri"/>
          <w:b/>
          <w:bCs/>
          <w:color w:val="1B3A6B"/>
          <w:sz w:val="28"/>
          <w:szCs w:val="28"/>
        </w:rPr>
        <w:t xml:space="preserve">⚠️ Impacts pour les ESSMS</w:t>
      </w:r>
    </w:p>
    <w:p>
      <w:pPr>
        <w:spacing w:after="80"/>
        <w:ind w:left="360"/>
      </w:pPr>
      <w:r>
        <w:rPr>
          <w:rFonts w:ascii="Calibri" w:cs="Calibri" w:eastAsia="Calibri" w:hAnsi="Calibri"/>
          <w:b w:val="false"/>
          <w:bCs w:val="false"/>
          <w:color w:val="1F2937"/>
          <w:sz w:val="22"/>
          <w:szCs w:val="22"/>
        </w:rPr>
        <w:t xml:space="preserve">• Panel scientifique et incidents de perte de contrôle : les recommandations portent sur les fournisseurs de modèles de frontière. La Commission va adresser des demandes d'information aux entreprises ayant développé les modèles impliqués dans des incidents. Un ESSMS utilisant un outil IA intégrant un modèle de frontière doit s'assurer auprès de son fournisseur de la conformité avec les obligations de surveillance du Bureau de l'IA.</w:t>
      </w:r>
    </w:p>
    <w:p>
      <w:pPr>
        <w:spacing w:after="80"/>
        <w:ind w:left="360"/>
      </w:pPr>
      <w:r>
        <w:rPr>
          <w:rFonts w:ascii="Calibri" w:cs="Calibri" w:eastAsia="Calibri" w:hAnsi="Calibri"/>
          <w:b w:val="false"/>
          <w:bCs w:val="false"/>
          <w:color w:val="1F2937"/>
          <w:sz w:val="22"/>
          <w:szCs w:val="22"/>
        </w:rPr>
        <w:t xml:space="preserve">• Supervision renforcée des modèles à usage général (GPAI) : les rapports d'incidents graves et les demandes d'information constituent un mécanisme d'application effectif. Vigilance sur les conditions contractuelles et les clauses de responsabilité avec les fournisseurs.</w:t>
      </w:r>
    </w:p>
    <w:p>
      <w:pPr>
        <w:spacing w:after="80"/>
        <w:ind w:left="360"/>
      </w:pPr>
      <w:r>
        <w:rPr>
          <w:rFonts w:ascii="Calibri" w:cs="Calibri" w:eastAsia="Calibri" w:hAnsi="Calibri"/>
          <w:b w:val="false"/>
          <w:bCs w:val="false"/>
          <w:color w:val="1F2937"/>
          <w:sz w:val="22"/>
          <w:szCs w:val="22"/>
        </w:rPr>
        <w:t xml:space="preserve">• Absence d'autorités françaises désignées — non vérifié à source primaire lors de cette exécution : l'interlocuteur de fait d'un ESSMS reste la CNIL (via le DPO), conformément au cadrage de ce job.</w:t>
      </w:r>
    </w:p>
    <w:p>
      <w:pPr>
        <w:spacing w:after="80"/>
        <w:ind w:left="360"/>
      </w:pPr>
      <w:r>
        <w:rPr>
          <w:rFonts w:ascii="Calibri" w:cs="Calibri" w:eastAsia="Calibri" w:hAnsi="Calibri"/>
          <w:b w:val="false"/>
          <w:bCs w:val="false"/>
          <w:color w:val="1F2937"/>
          <w:sz w:val="22"/>
          <w:szCs w:val="22"/>
        </w:rPr>
        <w:t xml:space="preserve">• Échéance 2 décembre 2026 : concerne les fournisseurs de systèmes génératifs mis sur le marché avant le 2 août 2026 (art. 50 §2 — marquage des contenus synthétiques) et les nouvelles interdictions (hypertrucages sexuels, CSAM). Un foyer d'hébergement déployant un outil de communication IA doit vérifier si son fournisseur est concerné.</w:t>
      </w:r>
    </w:p>
    <w:p>
      <w:pPr>
        <w:spacing w:after="80"/>
        <w:ind w:left="360"/>
      </w:pPr>
      <w:r>
        <w:rPr>
          <w:rFonts w:ascii="Calibri" w:cs="Calibri" w:eastAsia="Calibri" w:hAnsi="Calibri"/>
          <w:b w:val="false"/>
          <w:bCs w:val="false"/>
          <w:color w:val="1F2937"/>
          <w:sz w:val="22"/>
          <w:szCs w:val="22"/>
        </w:rPr>
        <w:t xml:space="preserve">• Haut risque — Annexe III applicable au 2 décembre 2027 : les domaines listés par la CNIL (emploi, éducation, accès aux services publics essentiels) sont potentiellement pertinents pour les ESSMS. Les outils d'aide à la décision (DUI, évaluation des besoins, gestion des événements indésirables) méritent une vérification de classification avant cette échéance.</w:t>
      </w:r>
    </w:p>
    <w:p>
      <w:pPr>
        <w:spacing w:after="80"/>
      </w:pPr>
      <w:r>
        <w:rPr>
          <w:rFonts w:ascii="Calibri" w:cs="Calibri" w:eastAsia="Calibri" w:hAnsi="Calibri"/>
          <w:color w:val="D1D5DB"/>
          <w:sz w:val="18"/>
          <w:szCs w:val="18"/>
        </w:rPr>
        <w:t xml:space="preserve">────────────────────────────────────────────────────────────</w:t>
      </w:r>
    </w:p>
    <w:p>
      <w:pPr>
        <w:spacing w:after="120" w:before="300"/>
      </w:pPr>
      <w:r>
        <w:rPr>
          <w:rFonts w:ascii="Calibri" w:cs="Calibri" w:eastAsia="Calibri" w:hAnsi="Calibri"/>
          <w:b/>
          <w:bCs/>
          <w:color w:val="1B3A6B"/>
          <w:sz w:val="28"/>
          <w:szCs w:val="28"/>
        </w:rPr>
        <w:t xml:space="preserve">📚 Sources du jour</w:t>
      </w:r>
    </w:p>
    <w:p>
      <w:pPr>
        <w:spacing w:after="100"/>
      </w:pPr>
      <w:r>
        <w:rPr>
          <w:rFonts w:ascii="Calibri" w:cs="Calibri" w:eastAsia="Calibri" w:hAnsi="Calibri"/>
          <w:b w:val="false"/>
          <w:bCs w:val="false"/>
          <w:color w:val="1F2937"/>
          <w:sz w:val="22"/>
          <w:szCs w:val="22"/>
        </w:rPr>
        <w:t xml:space="preserve">5 ✅ exploitées · 5 consultées · 1 ⚠️ (MEMBER) · 2 ⛔ — 13 tentées</w:t>
      </w:r>
    </w:p>
    <w:p>
      <w:pPr>
        <w:spacing w:after="100"/>
      </w:pPr>
      <w:r>
        <w:rPr>
          <w:rFonts w:ascii="Calibri" w:cs="Calibri" w:eastAsia="Calibri" w:hAnsi="Calibri"/>
          <w:b/>
          <w:bCs/>
          <w:color w:val="1F2937"/>
          <w:sz w:val="22"/>
          <w:szCs w:val="22"/>
        </w:rPr>
        <w:t xml:space="preserve">Exploitées (contenu repris dans la note) :</w:t>
      </w:r>
    </w:p>
    <w:p>
      <w:pPr>
        <w:spacing w:after="100"/>
      </w:pPr>
      <w:r>
        <w:rPr>
          <w:rFonts w:ascii="Calibri" w:cs="Calibri" w:eastAsia="Calibri" w:hAnsi="Calibri"/>
          <w:color w:val="1F2937"/>
          <w:sz w:val="22"/>
          <w:szCs w:val="22"/>
        </w:rPr>
        <w:t xml:space="preserve">✅ </w:t>
      </w:r>
      <w:hyperlink w:history="1" r:id="rIdsiw5vl2ghaa3ee02ievvm">
        <w:r>
          <w:rPr>
            <w:rFonts w:ascii="Calibri" w:cs="Calibri" w:eastAsia="Calibri" w:hAnsi="Calibri"/>
            <w:color w:val="1155CC"/>
            <w:sz w:val="22"/>
            <w:szCs w:val="22"/>
            <w:u w:val="single"/>
          </w:rPr>
          <w:t xml:space="preserve">digital-strategy.ec.europa.eu — Liste des actualités Commission</w:t>
        </w:r>
      </w:hyperlink>
      <w:r>
        <w:rPr>
          <w:rFonts w:ascii="Calibri" w:cs="Calibri" w:eastAsia="Calibri" w:hAnsi="Calibri"/>
          <w:color w:val="1F2937"/>
          <w:sz w:val="22"/>
          <w:szCs w:val="22"/>
        </w:rPr>
        <w:t xml:space="preserve"> (dates 9-16 oct examinées)</w:t>
      </w:r>
    </w:p>
    <w:p>
      <w:pPr>
        <w:spacing w:after="100"/>
      </w:pPr>
      <w:r>
        <w:rPr>
          <w:rFonts w:ascii="Calibri" w:cs="Calibri" w:eastAsia="Calibri" w:hAnsi="Calibri"/>
          <w:color w:val="1F2937"/>
          <w:sz w:val="22"/>
          <w:szCs w:val="22"/>
        </w:rPr>
        <w:t xml:space="preserve">✅ </w:t>
      </w:r>
      <w:hyperlink w:history="1" r:id="rIdxsybdqdigsiu_qw_aprez">
        <w:r>
          <w:rPr>
            <w:rFonts w:ascii="Calibri" w:cs="Calibri" w:eastAsia="Calibri" w:hAnsi="Calibri"/>
            <w:color w:val="1155CC"/>
            <w:sz w:val="22"/>
            <w:szCs w:val="22"/>
            <w:u w:val="single"/>
          </w:rPr>
          <w:t xml:space="preserve">Commission — Special meeting of the AI Scientific Panel</w:t>
        </w:r>
      </w:hyperlink>
      <w:r>
        <w:rPr>
          <w:rFonts w:ascii="Calibri" w:cs="Calibri" w:eastAsia="Calibri" w:hAnsi="Calibri"/>
          <w:color w:val="1F2937"/>
          <w:sz w:val="22"/>
          <w:szCs w:val="22"/>
        </w:rPr>
        <w:t xml:space="preserve"> (12 oct 2026, 3 995 caractères, lu en entier)</w:t>
      </w:r>
    </w:p>
    <w:p>
      <w:pPr>
        <w:spacing w:after="100"/>
      </w:pPr>
      <w:r>
        <w:rPr>
          <w:rFonts w:ascii="Calibri" w:cs="Calibri" w:eastAsia="Calibri" w:hAnsi="Calibri"/>
          <w:color w:val="1F2937"/>
          <w:sz w:val="22"/>
          <w:szCs w:val="22"/>
        </w:rPr>
        <w:t xml:space="preserve">✅ </w:t>
      </w:r>
      <w:hyperlink w:history="1" r:id="rIdngxsynvpxfse3pjjzahjf">
        <w:r>
          <w:rPr>
            <w:rFonts w:ascii="Calibri" w:cs="Calibri" w:eastAsia="Calibri" w:hAnsi="Calibri"/>
            <w:color w:val="1155CC"/>
            <w:sz w:val="22"/>
            <w:szCs w:val="22"/>
            <w:u w:val="single"/>
          </w:rPr>
          <w:t xml:space="preserve">Commission — Communiqué de presse panel scientifique</w:t>
        </w:r>
      </w:hyperlink>
      <w:r>
        <w:rPr>
          <w:rFonts w:ascii="Calibri" w:cs="Calibri" w:eastAsia="Calibri" w:hAnsi="Calibri"/>
          <w:color w:val="1F2937"/>
          <w:sz w:val="22"/>
          <w:szCs w:val="22"/>
        </w:rPr>
        <w:t xml:space="preserve"> (pub. 09 oct 2026, daté 05 oct dans la liste, 2 982 caractères, lu en entier)</w:t>
      </w:r>
    </w:p>
    <w:p>
      <w:pPr>
        <w:spacing w:after="100"/>
      </w:pPr>
      <w:r>
        <w:rPr>
          <w:rFonts w:ascii="Calibri" w:cs="Calibri" w:eastAsia="Calibri" w:hAnsi="Calibri"/>
          <w:color w:val="1F2937"/>
          <w:sz w:val="22"/>
          <w:szCs w:val="22"/>
        </w:rPr>
        <w:t xml:space="preserve">✅ </w:t>
      </w:r>
      <w:hyperlink w:history="1" r:id="rIdponc-erfj-r0rps3_ovuk">
        <w:r>
          <w:rPr>
            <w:rFonts w:ascii="Calibri" w:cs="Calibri" w:eastAsia="Calibri" w:hAnsi="Calibri"/>
            <w:color w:val="1155CC"/>
            <w:sz w:val="22"/>
            <w:szCs w:val="22"/>
            <w:u w:val="single"/>
          </w:rPr>
          <w:t xml:space="preserve">Calendrier d'application — Service desk</w:t>
        </w:r>
      </w:hyperlink>
      <w:r>
        <w:rPr>
          <w:rFonts w:ascii="Calibri" w:cs="Calibri" w:eastAsia="Calibri" w:hAnsi="Calibri"/>
          <w:color w:val="1F2937"/>
          <w:sz w:val="22"/>
          <w:szCs w:val="22"/>
        </w:rPr>
        <w:t xml:space="preserve"> (échéances vérifiées)</w:t>
      </w:r>
    </w:p>
    <w:p>
      <w:pPr>
        <w:spacing w:after="100"/>
      </w:pPr>
      <w:r>
        <w:rPr>
          <w:rFonts w:ascii="Calibri" w:cs="Calibri" w:eastAsia="Calibri" w:hAnsi="Calibri"/>
          <w:color w:val="1F2937"/>
          <w:sz w:val="22"/>
          <w:szCs w:val="22"/>
        </w:rPr>
        <w:t xml:space="preserve">✅ </w:t>
      </w:r>
      <w:hyperlink w:history="1" r:id="rId5z-n8ves5m6ph6eywt_sc">
        <w:r>
          <w:rPr>
            <w:rFonts w:ascii="Calibri" w:cs="Calibri" w:eastAsia="Calibri" w:hAnsi="Calibri"/>
            <w:color w:val="1155CC"/>
            <w:sz w:val="22"/>
            <w:szCs w:val="22"/>
            <w:u w:val="single"/>
          </w:rPr>
          <w:t xml:space="preserve">CNIL — Q&amp;R Règlement européen sur l'IA (MàJ 17 août 2026)</w:t>
        </w:r>
      </w:hyperlink>
      <w:r>
        <w:rPr>
          <w:rFonts w:ascii="Calibri" w:cs="Calibri" w:eastAsia="Calibri" w:hAnsi="Calibri"/>
          <w:color w:val="1F2937"/>
          <w:sz w:val="22"/>
          <w:szCs w:val="22"/>
        </w:rPr>
        <w:t xml:space="preserve"> (26 012 caractères, références réglementaires vérifiées)</w:t>
      </w:r>
    </w:p>
    <w:p>
      <w:pPr>
        <w:spacing w:after="100"/>
      </w:pPr>
      <w:r>
        <w:rPr>
          <w:rFonts w:ascii="Calibri" w:cs="Calibri" w:eastAsia="Calibri" w:hAnsi="Calibri"/>
          <w:b/>
          <w:bCs/>
          <w:color w:val="1F2937"/>
          <w:sz w:val="22"/>
          <w:szCs w:val="22"/>
        </w:rPr>
        <w:t xml:space="preserve">Consultées, sans apport :</w:t>
      </w:r>
    </w:p>
    <w:p>
      <w:pPr>
        <w:spacing w:after="100"/>
      </w:pPr>
      <w:r>
        <w:rPr>
          <w:rFonts w:ascii="Calibri" w:cs="Calibri" w:eastAsia="Calibri" w:hAnsi="Calibri"/>
          <w:color w:val="1F2937"/>
          <w:sz w:val="22"/>
          <w:szCs w:val="22"/>
        </w:rPr>
        <w:t xml:space="preserve">— </w:t>
      </w:r>
      <w:hyperlink w:history="1" r:id="rIdkzh3pkzeimpil-qnuj9ve">
        <w:r>
          <w:rPr>
            <w:rFonts w:ascii="Calibri" w:cs="Calibri" w:eastAsia="Calibri" w:hAnsi="Calibri"/>
            <w:color w:val="1155CC"/>
            <w:sz w:val="22"/>
            <w:szCs w:val="22"/>
            <w:u w:val="single"/>
          </w:rPr>
          <w:t xml:space="preserve">artificialintelligenceact.eu</w:t>
        </w:r>
      </w:hyperlink>
      <w:r>
        <w:rPr>
          <w:rFonts w:ascii="Calibri" w:cs="Calibri" w:eastAsia="Calibri" w:hAnsi="Calibri"/>
          <w:color w:val="1F2937"/>
          <w:sz w:val="22"/>
          <w:szCs w:val="22"/>
        </w:rPr>
        <w:t xml:space="preserve"> — 16 208 caractères ; aucune date dans la fenêtre 9-16 oct repérée dans les 4 000 premiers caractères</w:t>
      </w:r>
    </w:p>
    <w:p>
      <w:pPr>
        <w:spacing w:after="100"/>
      </w:pPr>
      <w:r>
        <w:rPr>
          <w:rFonts w:ascii="Calibri" w:cs="Calibri" w:eastAsia="Calibri" w:hAnsi="Calibri"/>
          <w:color w:val="1F2937"/>
          <w:sz w:val="22"/>
          <w:szCs w:val="22"/>
        </w:rPr>
        <w:t xml:space="preserve">— </w:t>
      </w:r>
      <w:hyperlink w:history="1" r:id="rIdumkjlvcdqtimbww9akyr6">
        <w:r>
          <w:rPr>
            <w:rFonts w:ascii="Calibri" w:cs="Calibri" w:eastAsia="Calibri" w:hAnsi="Calibri"/>
            <w:color w:val="1155CC"/>
            <w:sz w:val="22"/>
            <w:szCs w:val="22"/>
            <w:u w:val="single"/>
          </w:rPr>
          <w:t xml:space="preserve">IAPP — Index des actualités</w:t>
        </w:r>
      </w:hyperlink>
      <w:r>
        <w:rPr>
          <w:rFonts w:ascii="Calibri" w:cs="Calibri" w:eastAsia="Calibri" w:hAnsi="Calibri"/>
          <w:color w:val="1F2937"/>
          <w:sz w:val="22"/>
          <w:szCs w:val="22"/>
        </w:rPr>
        <w:t xml:space="preserve"> — 4 298 caractères avec agent de navigateur ; index lu</w:t>
      </w:r>
    </w:p>
    <w:p>
      <w:pPr>
        <w:spacing w:after="100"/>
      </w:pPr>
      <w:r>
        <w:rPr>
          <w:rFonts w:ascii="Calibri" w:cs="Calibri" w:eastAsia="Calibri" w:hAnsi="Calibri"/>
          <w:color w:val="1F2937"/>
          <w:sz w:val="22"/>
          <w:szCs w:val="22"/>
        </w:rPr>
        <w:t xml:space="preserve">— </w:t>
      </w:r>
      <w:hyperlink w:history="1" r:id="rIdbd9xafrid5hf8tiufmhiz">
        <w:r>
          <w:rPr>
            <w:rFonts w:ascii="Calibri" w:cs="Calibri" w:eastAsia="Calibri" w:hAnsi="Calibri"/>
            <w:color w:val="1155CC"/>
            <w:sz w:val="22"/>
            <w:szCs w:val="22"/>
            <w:u w:val="single"/>
          </w:rPr>
          <w:t xml:space="preserve">IAPP — Roccia, "A view from Brussels" (15 oct 2026)</w:t>
        </w:r>
      </w:hyperlink>
      <w:r>
        <w:rPr>
          <w:rFonts w:ascii="Calibri" w:cs="Calibri" w:eastAsia="Calibri" w:hAnsi="Calibri"/>
          <w:color w:val="1F2937"/>
          <w:sz w:val="22"/>
          <w:szCs w:val="22"/>
        </w:rPr>
        <w:t xml:space="preserve"> — 5 602 caractères, hors périmètre (RGPD uniquement)</w:t>
      </w:r>
    </w:p>
    <w:p>
      <w:pPr>
        <w:spacing w:after="100"/>
      </w:pPr>
      <w:r>
        <w:rPr>
          <w:rFonts w:ascii="Calibri" w:cs="Calibri" w:eastAsia="Calibri" w:hAnsi="Calibri"/>
          <w:color w:val="1F2937"/>
          <w:sz w:val="22"/>
          <w:szCs w:val="22"/>
        </w:rPr>
        <w:t xml:space="preserve">— </w:t>
      </w:r>
      <w:hyperlink w:history="1" r:id="rIdla3pvv-dtyqrqtbasfkuv">
        <w:r>
          <w:rPr>
            <w:rFonts w:ascii="Calibri" w:cs="Calibri" w:eastAsia="Calibri" w:hAnsi="Calibri"/>
            <w:color w:val="1155CC"/>
            <w:sz w:val="22"/>
            <w:szCs w:val="22"/>
            <w:u w:val="single"/>
          </w:rPr>
          <w:t xml:space="preserve">CNIL — Rubrique intelligence artificielle</w:t>
        </w:r>
      </w:hyperlink>
      <w:r>
        <w:rPr>
          <w:rFonts w:ascii="Calibri" w:cs="Calibri" w:eastAsia="Calibri" w:hAnsi="Calibri"/>
          <w:color w:val="1F2937"/>
          <w:sz w:val="22"/>
          <w:szCs w:val="22"/>
        </w:rPr>
        <w:t xml:space="preserve"> — dernier article : 26 août 2026</w:t>
      </w:r>
    </w:p>
    <w:p>
      <w:pPr>
        <w:spacing w:after="100"/>
      </w:pPr>
      <w:r>
        <w:rPr>
          <w:rFonts w:ascii="Calibri" w:cs="Calibri" w:eastAsia="Calibri" w:hAnsi="Calibri"/>
          <w:b/>
          <w:bCs/>
          <w:color w:val="1F2937"/>
          <w:sz w:val="22"/>
          <w:szCs w:val="22"/>
        </w:rPr>
        <w:t xml:space="preserve">Partiellement accessible :</w:t>
      </w:r>
    </w:p>
    <w:p>
      <w:pPr>
        <w:spacing w:after="100"/>
      </w:pPr>
      <w:r>
        <w:rPr>
          <w:rFonts w:ascii="Calibri" w:cs="Calibri" w:eastAsia="Calibri" w:hAnsi="Calibri"/>
          <w:color w:val="1F2937"/>
          <w:sz w:val="22"/>
          <w:szCs w:val="22"/>
        </w:rPr>
        <w:t xml:space="preserve">⚠️ </w:t>
      </w:r>
      <w:hyperlink w:history="1" r:id="rIdq-khgyj20s9-6fy2hanul">
        <w:r>
          <w:rPr>
            <w:rFonts w:ascii="Calibri" w:cs="Calibri" w:eastAsia="Calibri" w:hAnsi="Calibri"/>
            <w:color w:val="1155CC"/>
            <w:sz w:val="22"/>
            <w:szCs w:val="22"/>
            <w:u w:val="single"/>
          </w:rPr>
          <w:t xml:space="preserve">IAPP — "When AI hallucinates facts about individuals" (14 oct 2026)</w:t>
        </w:r>
      </w:hyperlink>
      <w:r>
        <w:rPr>
          <w:rFonts w:ascii="Calibri" w:cs="Calibri" w:eastAsia="Calibri" w:hAnsi="Calibri"/>
          <w:color w:val="1F2937"/>
          <w:sz w:val="22"/>
          <w:szCs w:val="22"/>
        </w:rPr>
        <w:t xml:space="preserve"> — 4 461 caractères, MEMBER (introduction seule accessible)</w:t>
      </w:r>
    </w:p>
    <w:p>
      <w:pPr>
        <w:spacing w:after="100"/>
      </w:pPr>
      <w:r>
        <w:rPr>
          <w:rFonts w:ascii="Calibri" w:cs="Calibri" w:eastAsia="Calibri" w:hAnsi="Calibri"/>
          <w:b/>
          <w:bCs/>
          <w:color w:val="1F2937"/>
          <w:sz w:val="22"/>
          <w:szCs w:val="22"/>
        </w:rPr>
        <w:t xml:space="preserve">Inaccessibles :</w:t>
      </w:r>
    </w:p>
    <w:p>
      <w:pPr>
        <w:spacing w:after="100"/>
      </w:pPr>
      <w:r>
        <w:rPr>
          <w:rFonts w:ascii="Calibri" w:cs="Calibri" w:eastAsia="Calibri" w:hAnsi="Calibri"/>
          <w:color w:val="1F2937"/>
          <w:sz w:val="22"/>
          <w:szCs w:val="22"/>
        </w:rPr>
        <w:t xml:space="preserve">⛔ </w:t>
      </w:r>
      <w:hyperlink w:history="1" r:id="rIdw9runifsow0ujrlq3rraj">
        <w:r>
          <w:rPr>
            <w:rFonts w:ascii="Calibri" w:cs="Calibri" w:eastAsia="Calibri" w:hAnsi="Calibri"/>
            <w:color w:val="1155CC"/>
            <w:sz w:val="22"/>
            <w:szCs w:val="22"/>
            <w:u w:val="single"/>
          </w:rPr>
          <w:t xml:space="preserve">Conseil de l'UE — Communiqués de presse</w:t>
        </w:r>
      </w:hyperlink>
      <w:r>
        <w:rPr>
          <w:rFonts w:ascii="Calibri" w:cs="Calibri" w:eastAsia="Calibri" w:hAnsi="Calibri"/>
          <w:color w:val="1F2937"/>
          <w:sz w:val="22"/>
          <w:szCs w:val="22"/>
        </w:rPr>
        <w:t xml:space="preserve"> — HTTP 403 ; fallback WebSearch : aucun item règlement IA dans la fenêtre</w:t>
      </w:r>
    </w:p>
    <w:p>
      <w:pPr>
        <w:spacing w:after="100"/>
      </w:pPr>
      <w:r>
        <w:rPr>
          <w:rFonts w:ascii="Calibri" w:cs="Calibri" w:eastAsia="Calibri" w:hAnsi="Calibri"/>
          <w:color w:val="1F2937"/>
          <w:sz w:val="22"/>
          <w:szCs w:val="22"/>
        </w:rPr>
        <w:t xml:space="preserve">⛔ </w:t>
      </w:r>
      <w:hyperlink w:history="1" r:id="rIdcxahqcvhufxs8al0lftjx">
        <w:r>
          <w:rPr>
            <w:rFonts w:ascii="Calibri" w:cs="Calibri" w:eastAsia="Calibri" w:hAnsi="Calibri"/>
            <w:color w:val="1155CC"/>
            <w:sz w:val="22"/>
            <w:szCs w:val="22"/>
            <w:u w:val="single"/>
          </w:rPr>
          <w:t xml:space="preserve">EUR-Lex — Règlement (UE) 2026/1744</w:t>
        </w:r>
      </w:hyperlink>
      <w:r>
        <w:rPr>
          <w:rFonts w:ascii="Calibri" w:cs="Calibri" w:eastAsia="Calibri" w:hAnsi="Calibri"/>
          <w:color w:val="1F2937"/>
          <w:sz w:val="22"/>
          <w:szCs w:val="22"/>
        </w:rPr>
        <w:t xml:space="preserve"> — HTTP 202, corps 0 octet</w:t>
      </w:r>
    </w:p>
    <w:p>
      <w:pPr>
        <w:spacing w:after="80"/>
      </w:pPr>
      <w:r>
        <w:rPr>
          <w:rFonts w:ascii="Calibri" w:cs="Calibri" w:eastAsia="Calibri" w:hAnsi="Calibri"/>
          <w:color w:val="D1D5DB"/>
          <w:sz w:val="18"/>
          <w:szCs w:val="18"/>
        </w:rPr>
        <w:t xml:space="preserve">────────────────────────────────────────────────────────────</w:t>
      </w:r>
    </w:p>
    <w:p>
      <w:pPr>
        <w:spacing w:after="120" w:before="300"/>
      </w:pPr>
      <w:r>
        <w:rPr>
          <w:rFonts w:ascii="Calibri" w:cs="Calibri" w:eastAsia="Calibri" w:hAnsi="Calibri"/>
          <w:b/>
          <w:bCs/>
          <w:color w:val="1B3A6B"/>
          <w:sz w:val="28"/>
          <w:szCs w:val="28"/>
        </w:rPr>
        <w:t xml:space="preserve">🔜 À surveiller</w:t>
      </w:r>
    </w:p>
    <w:p>
      <w:pPr>
        <w:spacing w:after="80"/>
        <w:ind w:left="360"/>
      </w:pPr>
      <w:r>
        <w:rPr>
          <w:rFonts w:ascii="Calibri" w:cs="Calibri" w:eastAsia="Calibri" w:hAnsi="Calibri"/>
          <w:b w:val="false"/>
          <w:bCs w:val="false"/>
          <w:color w:val="1F2937"/>
          <w:sz w:val="22"/>
          <w:szCs w:val="22"/>
        </w:rPr>
        <w:t xml:space="preserve">• Résultats des demandes d'information de la Commission aux développeurs des modèles impliqués dans des incidents de perte de contrôle (suite de la réunion du 9 oct 2026).</w:t>
      </w:r>
    </w:p>
    <w:p>
      <w:pPr>
        <w:spacing w:after="80"/>
        <w:ind w:left="360"/>
      </w:pPr>
      <w:r>
        <w:rPr>
          <w:rFonts w:ascii="Calibri" w:cs="Calibri" w:eastAsia="Calibri" w:hAnsi="Calibri"/>
          <w:b w:val="false"/>
          <w:bCs w:val="false"/>
          <w:color w:val="1F2937"/>
          <w:sz w:val="22"/>
          <w:szCs w:val="22"/>
        </w:rPr>
        <w:t xml:space="preserve">• Promulgation du DDADUE et désignation officielle des autorités françaises (CNIL, DGCCRF, Arcom, ACPR…) — non vérifié à source primaire lors de cette exécution (https://www.legifrance.gouv.fr inaccessible sans JavaScript).</w:t>
      </w:r>
    </w:p>
    <w:p>
      <w:pPr>
        <w:spacing w:after="80"/>
        <w:ind w:left="360"/>
      </w:pPr>
      <w:r>
        <w:rPr>
          <w:rFonts w:ascii="Calibri" w:cs="Calibri" w:eastAsia="Calibri" w:hAnsi="Calibri"/>
          <w:b w:val="false"/>
          <w:bCs w:val="false"/>
          <w:color w:val="1F2937"/>
          <w:sz w:val="22"/>
          <w:szCs w:val="22"/>
        </w:rPr>
        <w:t xml:space="preserve">• Échéance 2 décembre 2026 : nouvelles interdictions + transition art. 50 §2 (marquage contenus synthétiques) pour systèmes déjà sur le marché.</w:t>
      </w:r>
    </w:p>
    <w:p>
      <w:pPr>
        <w:spacing w:after="80"/>
        <w:ind w:left="360"/>
      </w:pPr>
      <w:r>
        <w:rPr>
          <w:rFonts w:ascii="Calibri" w:cs="Calibri" w:eastAsia="Calibri" w:hAnsi="Calibri"/>
          <w:b w:val="false"/>
          <w:bCs w:val="false"/>
          <w:color w:val="1F2937"/>
          <w:sz w:val="22"/>
          <w:szCs w:val="22"/>
        </w:rPr>
        <w:t xml:space="preserve">• Initiative internationale sur la sécurité des modèles de frontière recommandée par le panel : à suivre au niveau de la Commission et des partenaires.</w:t>
      </w:r>
    </w:p>
    <w:p>
      <w:pPr>
        <w:spacing w:after="80"/>
        <w:ind w:left="360"/>
      </w:pPr>
      <w:r>
        <w:rPr>
          <w:rFonts w:ascii="Calibri" w:cs="Calibri" w:eastAsia="Calibri" w:hAnsi="Calibri"/>
          <w:b w:val="false"/>
          <w:bCs w:val="false"/>
          <w:color w:val="1F2937"/>
          <w:sz w:val="22"/>
          <w:szCs w:val="22"/>
        </w:rPr>
        <w:t xml:space="preserve">• Article IAPP MEMBER "Mind the gap: IC sets expectations for AI model developers" (14 oct) : potentiellement adjacent au règlement IA, à lire si accès disponible.</w:t>
      </w:r>
    </w:p>
    <w:p>
      <w:pPr>
        <w:spacing w:before="360" w:after="120"/>
      </w:pPr>
      <w:r>
        <w:rPr>
          <w:rFonts w:ascii="Times New Roman" w:cs="Times New Roman" w:eastAsia="Times New Roman" w:hAnsi="Times New Roman"/>
          <w:b/>
          <w:bCs/>
          <w:color w:val="1F2937"/>
          <w:sz w:val="26"/>
          <w:szCs w:val="26"/>
        </w:rPr>
        <w:t xml:space="preserve">📝 Journal des corrections</w:t>
      </w:r>
    </w:p>
    <w:p>
      <w:pPr>
        <w:spacing w:after="80"/>
      </w:pPr>
      <w:r>
        <w:rPr>
          <w:rFonts w:ascii="Times New Roman" w:cs="Times New Roman" w:eastAsia="Times New Roman" w:hAnsi="Times New Roman"/>
          <w:color w:val="1F2937"/>
          <w:sz w:val="22"/>
          <w:szCs w:val="22"/>
        </w:rPr>
        <w:t xml:space="preserve">Corrections apportées le 16/10/2026, après un audit mené à la main : le job du 16/10 est mort sur son plafond de coût (3,2339 $ pour 3,00 $, 34 tours) sans lancer aucun contrôle, et cette note a été relue puis publiée séparément.</w:t>
      </w:r>
    </w:p>
    <w:p>
      <w:pPr>
        <w:spacing w:after="80"/>
      </w:pPr>
      <w:r>
        <w:rPr>
          <w:rFonts w:ascii="Times New Roman" w:cs="Times New Roman" w:eastAsia="Times New Roman" w:hAnsi="Times New Roman"/>
          <w:color w:val="1F2937"/>
          <w:sz w:val="20"/>
          <w:szCs w:val="20"/>
        </w:rPr>
        <w:t xml:space="preserve">• Réserve du DDADUE (¶ « Legifrance.gouv.fr requiert JavaScript ») : le libellé d'origine était « Ces informations sont issues de sources secondaires et ne sont pas vérifiées à une source primaire (…) lors de cette exécution. » La réserve y était, mais ni la formulation « non vérifié » que le contrôle reconnaît, ni le fait que les sources secondaires ne sont pas identifiables dans la trace. Les deux sont désormais écrits. Aucune affirmation de fond n'a changé.</w:t>
      </w:r>
    </w:p>
    <w:p>
      <w:pPr>
        <w:spacing w:after="80"/>
      </w:pPr>
      <w:r>
        <w:rPr>
          <w:rFonts w:ascii="Times New Roman" w:cs="Times New Roman" w:eastAsia="Times New Roman" w:hAnsi="Times New Roman"/>
          <w:color w:val="1F2937"/>
          <w:sz w:val="20"/>
          <w:szCs w:val="20"/>
        </w:rPr>
        <w:t xml:space="preserve">• AUCUNE AUTRE CORRECTION. L'« URL malformée » https://www.legifrance.gouv.fr, que la fiche du 16/10 reprochait d'abord à ce document n'en était pas une : la virgule sépare trois adresses dans une liste, ce qui est du français correct. Le défaut était dans l'extraction des adresses du contrôle, corrigé le même jour (㊴), et la fiche rectifiée.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m-tfn2dwkr4lzixcahikv" Type="http://schemas.openxmlformats.org/officeDocument/2006/relationships/hyperlink" Target="https://digital-strategy.ec.europa.eu/en/news/special-meeting-ai-scientific-panel" TargetMode="External"/><Relationship Id="rIdgk7xgbmzz8xwjtyoq3v-i" Type="http://schemas.openxmlformats.org/officeDocument/2006/relationships/hyperlink" Target="https://digital-strategy.ec.europa.eu/en/news/commission-holds-special-meeting-scientific-panel-frontier-ai-safety-and-risks" TargetMode="External"/><Relationship Id="rIduwsplab2sn7j6dasimise" Type="http://schemas.openxmlformats.org/officeDocument/2006/relationships/hyperlink" Target="https://ai-act-service-desk.ec.europa.eu/en/ai-act/timeline/timeline-implementation-eu-ai-act" TargetMode="External"/><Relationship Id="rIdeer3rfbfqb9mkdzwtr1md" Type="http://schemas.openxmlformats.org/officeDocument/2006/relationships/hyperlink" Target="https://artificialintelligenceact.eu" TargetMode="External"/><Relationship Id="rIdiaq_stixz0htleqeoruog" Type="http://schemas.openxmlformats.org/officeDocument/2006/relationships/hyperlink" Target="https://iapp.org/news/" TargetMode="External"/><Relationship Id="rIdaqi1ymybw464vsotvhwha" Type="http://schemas.openxmlformats.org/officeDocument/2006/relationships/hyperlink" Target="https://iapp.org/news/a/a-view-from-brussels-is-governance-better-served-by-legal-uncertainty/" TargetMode="External"/><Relationship Id="rIdmo185u7rnb6pbv6cbgqj7" Type="http://schemas.openxmlformats.org/officeDocument/2006/relationships/hyperlink" Target="https://iapp.org/news/a/when-ai-hallucinates-facts-about-individuals-personal-data-and-accuracy-under-the-gdpr/" TargetMode="External"/><Relationship Id="rIdhzygvjl1maqcywaujsfvm" Type="http://schemas.openxmlformats.org/officeDocument/2006/relationships/hyperlink" Target="https://www.cnil.fr/fr/intelligence-artificielle" TargetMode="External"/><Relationship Id="rIdlupebdjskiqyj-r3jwthg" Type="http://schemas.openxmlformats.org/officeDocument/2006/relationships/hyperlink" Target="https://www.cnil.fr/fr/entree-en-vigueur-du-reglement-europeen-sur-lia-les-premieres-questions-reponses-de-la-cnil" TargetMode="External"/><Relationship Id="rIdsiw5vl2ghaa3ee02ievvm" Type="http://schemas.openxmlformats.org/officeDocument/2006/relationships/hyperlink" Target="https://digital-strategy.ec.europa.eu/en/policies/regulatory-framework-ai" TargetMode="External"/><Relationship Id="rIdxsybdqdigsiu_qw_aprez" Type="http://schemas.openxmlformats.org/officeDocument/2006/relationships/hyperlink" Target="https://digital-strategy.ec.europa.eu/en/news/special-meeting-ai-scientific-panel" TargetMode="External"/><Relationship Id="rIdngxsynvpxfse3pjjzahjf" Type="http://schemas.openxmlformats.org/officeDocument/2006/relationships/hyperlink" Target="https://digital-strategy.ec.europa.eu/en/news/commission-holds-special-meeting-scientific-panel-frontier-ai-safety-and-risks" TargetMode="External"/><Relationship Id="rIdponc-erfj-r0rps3_ovuk" Type="http://schemas.openxmlformats.org/officeDocument/2006/relationships/hyperlink" Target="https://ai-act-service-desk.ec.europa.eu/en/ai-act/timeline/timeline-implementation-eu-ai-act" TargetMode="External"/><Relationship Id="rId5z-n8ves5m6ph6eywt_sc" Type="http://schemas.openxmlformats.org/officeDocument/2006/relationships/hyperlink" Target="https://www.cnil.fr/fr/entree-en-vigueur-du-reglement-europeen-sur-lia-les-premieres-questions-reponses-de-la-cnil" TargetMode="External"/><Relationship Id="rIdkzh3pkzeimpil-qnuj9ve" Type="http://schemas.openxmlformats.org/officeDocument/2006/relationships/hyperlink" Target="https://artificialintelligenceact.eu" TargetMode="External"/><Relationship Id="rIdumkjlvcdqtimbww9akyr6" Type="http://schemas.openxmlformats.org/officeDocument/2006/relationships/hyperlink" Target="https://iapp.org/news/" TargetMode="External"/><Relationship Id="rIdbd9xafrid5hf8tiufmhiz" Type="http://schemas.openxmlformats.org/officeDocument/2006/relationships/hyperlink" Target="https://iapp.org/news/a/a-view-from-brussels-is-governance-better-served-by-legal-uncertainty/" TargetMode="External"/><Relationship Id="rIdla3pvv-dtyqrqtbasfkuv" Type="http://schemas.openxmlformats.org/officeDocument/2006/relationships/hyperlink" Target="https://www.cnil.fr/fr/intelligence-artificielle" TargetMode="External"/><Relationship Id="rIdq-khgyj20s9-6fy2hanul" Type="http://schemas.openxmlformats.org/officeDocument/2006/relationships/hyperlink" Target="https://iapp.org/news/a/when-ai-hallucinates-facts-about-individuals-personal-data-and-accuracy-under-the-gdpr/" TargetMode="External"/><Relationship Id="rIdw9runifsow0ujrlq3rraj" Type="http://schemas.openxmlformats.org/officeDocument/2006/relationships/hyperlink" Target="https://www.consilium.europa.eu/en/press/press-releases/" TargetMode="External"/><Relationship Id="rIdcxahqcvhufxs8al0lftjx" Type="http://schemas.openxmlformats.org/officeDocument/2006/relationships/hyperlink" Target="https://eur-lex.europa.eu/legal-content/FR/TXT/?uri=CELEX:32026R1744"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2026-10-16T07:24:40.196Z</dcterms:created>
  <dcterms:modified xsi:type="dcterms:W3CDTF">2026-10-16T07:24:40.203Z</dcterms:modified>
</cp:coreProperties>
</file>

<file path=docProps/custom.xml><?xml version="1.0" encoding="utf-8"?>
<Properties xmlns="http://schemas.openxmlformats.org/officeDocument/2006/custom-properties" xmlns:vt="http://schemas.openxmlformats.org/officeDocument/2006/docPropsVTypes"/>
</file>