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Calibri" w:cs="Calibri" w:eastAsia="Calibri" w:hAnsi="Calibri"/>
          <w:b/>
          <w:bCs/>
          <w:color w:val="1B3A6B"/>
          <w:sz w:val="36"/>
          <w:szCs w:val="36"/>
        </w:rPr>
        <w:t xml:space="preserve">Veille SERAFIN-PH — Synthèse hebdomadaire</w:t>
      </w:r>
    </w:p>
    <w:p>
      <w:pPr>
        <w:spacing w:after="40" w:before="0"/>
        <w:jc w:val="center"/>
      </w:pPr>
      <w:r>
        <w:rPr>
          <w:rFonts w:ascii="Calibri" w:cs="Calibri" w:eastAsia="Calibri" w:hAnsi="Calibri"/>
          <w:color w:val="1F2937"/>
          <w:sz w:val="22"/>
          <w:szCs w:val="22"/>
        </w:rPr>
        <w:t xml:space="preserve">Date de production : 12 août 2026</w:t>
      </w:r>
    </w:p>
    <w:p>
      <w:pPr>
        <w:spacing w:after="200" w:before="0"/>
        <w:jc w:val="center"/>
      </w:pPr>
      <w:r>
        <w:rPr>
          <w:rFonts w:ascii="Calibri" w:cs="Calibri" w:eastAsia="Calibri" w:hAnsi="Calibri"/>
          <w:i/>
          <w:iCs/>
          <w:color w:val="1F2937"/>
          <w:sz w:val="22"/>
          <w:szCs w:val="22"/>
        </w:rPr>
        <w:t xml:space="preserve">Fenêtre de veille : 05/08/2026 – 12/08/2026 (7 derniers jours)</w:t>
      </w:r>
    </w:p>
    <w:p>
      <w:pPr>
        <w:spacing w:after="100" w:before="300"/>
      </w:pPr>
      <w:r>
        <w:rPr>
          <w:rFonts w:ascii="Calibri" w:cs="Calibri" w:eastAsia="Calibri" w:hAnsi="Calibri"/>
          <w:b/>
          <w:bCs/>
          <w:color w:val="1B3A6B"/>
          <w:sz w:val="28"/>
          <w:szCs w:val="28"/>
        </w:rPr>
        <w:t xml:space="preserve">Sources consultées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Pr>
        <w:tc>
          <w:tcPr>
            <w:shd w:fill="1B3A6B" w:val="clear"/>
            <w:tcMar>
              <w:top w:type="dxa" w:w="60"/>
              <w:left w:type="dxa" w:w="80"/>
              <w:bottom w:type="dxa" w:w="60"/>
              <w:right w:type="dxa" w:w="80"/>
            </w:tcMar>
            <w:vAlign w:val="center"/>
          </w:tcPr>
          <w:p>
            <w:pPr>
              <w:jc w:val="center"/>
            </w:pPr>
            <w:r>
              <w:rPr>
                <w:rFonts w:ascii="Calibri" w:cs="Calibri" w:eastAsia="Calibri" w:hAnsi="Calibri"/>
                <w:b/>
                <w:bCs/>
                <w:color w:val="FFFFFF"/>
                <w:sz w:val="20"/>
                <w:szCs w:val="20"/>
              </w:rPr>
              <w:t xml:space="preserve">Source</w:t>
            </w:r>
          </w:p>
        </w:tc>
        <w:tc>
          <w:tcPr>
            <w:shd w:fill="1B3A6B" w:val="clear"/>
            <w:tcMar>
              <w:top w:type="dxa" w:w="60"/>
              <w:left w:type="dxa" w:w="80"/>
              <w:bottom w:type="dxa" w:w="60"/>
              <w:right w:type="dxa" w:w="80"/>
            </w:tcMar>
            <w:vAlign w:val="center"/>
          </w:tcPr>
          <w:p>
            <w:pPr>
              <w:jc w:val="center"/>
            </w:pPr>
            <w:r>
              <w:rPr>
                <w:rFonts w:ascii="Calibri" w:cs="Calibri" w:eastAsia="Calibri" w:hAnsi="Calibri"/>
                <w:b/>
                <w:bCs/>
                <w:color w:val="FFFFFF"/>
                <w:sz w:val="20"/>
                <w:szCs w:val="20"/>
              </w:rPr>
              <w:t xml:space="preserve">URL consultée</w:t>
            </w:r>
          </w:p>
        </w:tc>
        <w:tc>
          <w:tcPr>
            <w:shd w:fill="1B3A6B" w:val="clear"/>
            <w:tcMar>
              <w:top w:type="dxa" w:w="60"/>
              <w:left w:type="dxa" w:w="80"/>
              <w:bottom w:type="dxa" w:w="60"/>
              <w:right w:type="dxa" w:w="80"/>
            </w:tcMar>
            <w:vAlign w:val="center"/>
          </w:tcPr>
          <w:p>
            <w:pPr>
              <w:jc w:val="center"/>
            </w:pPr>
            <w:r>
              <w:rPr>
                <w:rFonts w:ascii="Calibri" w:cs="Calibri" w:eastAsia="Calibri" w:hAnsi="Calibri"/>
                <w:b/>
                <w:bCs/>
                <w:color w:val="FFFFFF"/>
                <w:sz w:val="20"/>
                <w:szCs w:val="20"/>
              </w:rPr>
              <w:t xml:space="preserve">Statut</w:t>
            </w:r>
          </w:p>
        </w:tc>
        <w:tc>
          <w:tcPr>
            <w:shd w:fill="1B3A6B" w:val="clear"/>
            <w:tcMar>
              <w:top w:type="dxa" w:w="60"/>
              <w:left w:type="dxa" w:w="80"/>
              <w:bottom w:type="dxa" w:w="60"/>
              <w:right w:type="dxa" w:w="80"/>
            </w:tcMar>
            <w:vAlign w:val="center"/>
          </w:tcPr>
          <w:p>
            <w:pPr>
              <w:jc w:val="center"/>
            </w:pPr>
            <w:r>
              <w:rPr>
                <w:rFonts w:ascii="Calibri" w:cs="Calibri" w:eastAsia="Calibri" w:hAnsi="Calibri"/>
                <w:b/>
                <w:bCs/>
                <w:color w:val="FFFFFF"/>
                <w:sz w:val="20"/>
                <w:szCs w:val="20"/>
              </w:rPr>
              <w:t xml:space="preserve">Apport</w:t>
            </w:r>
          </w:p>
        </w:tc>
      </w:tr>
      <w:tr>
        <w:tc>
          <w:tcPr>
            <w:shd w:fill="FFFFFF"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handicap.gouv.fr — Comité stratégique SERAFIN-PH</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handicap.gouv.fr/comite-strategique-…</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 Consultée</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Rappel de contexte (hors fenêtre)</w:t>
            </w:r>
          </w:p>
        </w:tc>
      </w:tr>
      <w:tr>
        <w:tc>
          <w:tcPr>
            <w:shd w:fill="EEF2F7"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CNSA — Recueil PH 2026 (actualité)</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cnsa.fr/actualites/serafin-ph-…</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 Consultée</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Rappel de contexte (hors fenêtre)</w:t>
            </w:r>
          </w:p>
        </w:tc>
      </w:tr>
      <w:tr>
        <w:tc>
          <w:tcPr>
            <w:shd w:fill="FFFFFF"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CNSA — Page générale SERAFIN-PH</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cnsa.fr/budget-et-financement/serafin-PH</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 Consultée</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Aucun élément nouveau juillet-août 2026</w:t>
            </w:r>
          </w:p>
        </w:tc>
      </w:tr>
      <w:tr>
        <w:tc>
          <w:tcPr>
            <w:shd w:fill="EEF2F7"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Légifrance — Décret n° 2026-376</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legifrance.gouv.fr/jorf/id/JORFTEXT000054103861</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 Consultée</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Rappel de contexte (hors fenêtre)</w:t>
            </w:r>
          </w:p>
        </w:tc>
      </w:tr>
      <w:tr>
        <w:tc>
          <w:tcPr>
            <w:shd w:fill="FFFFFF"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ATIH — Personnes handicapées</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atih.sante.fr/champ-d-activite/personnes-handicapees</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 403 Bloqué</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Données via WebSearch (sources secondaires)</w:t>
            </w:r>
          </w:p>
        </w:tc>
      </w:tr>
      <w:tr>
        <w:tc>
          <w:tcPr>
            <w:shd w:fill="EEF2F7"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ATIH — Campagne financement 2026</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atih.sante.fr/actualites/campagne-de-financement-2026</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 403 Bloqué</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Non exploitable</w:t>
            </w:r>
          </w:p>
        </w:tc>
      </w:tr>
    </w:tbl>
    <w:p>
      <w:pPr>
        <w:spacing w:after="0" w:before="120"/>
      </w:pPr>
    </w:p>
    <w:p>
      <w:pPr>
        <w:spacing w:after="60" w:before="60"/>
      </w:pPr>
      <w:r>
        <w:rPr>
          <w:rFonts w:ascii="Calibri" w:cs="Calibri" w:eastAsia="Calibri" w:hAnsi="Calibri"/>
          <w:i/>
          <w:iCs/>
          <w:color w:val="6B7280"/>
          <w:sz w:val="20"/>
          <w:szCs w:val="20"/>
        </w:rPr>
        <w:t xml:space="preserve">⚠️ ATIH bloque systématiquement les requêtes automatiques (HTTP 403). Les informations issues de WebSearch sur ce domaine sont des extraits de sources secondaires — non repris comme faits dans le corps de la note.</w:t>
      </w:r>
    </w:p>
    <w:p>
      <w:pPr>
        <w:pBdr>
          <w:bottom w:val="single" w:color="1B3A6B" w:sz="4"/>
        </w:pBdr>
        <w:spacing w:after="160" w:before="160"/>
      </w:pPr>
    </w:p>
    <w:p>
      <w:pPr>
        <w:spacing w:after="100" w:before="300"/>
      </w:pPr>
      <w:r>
        <w:rPr>
          <w:rFonts w:ascii="Calibri" w:cs="Calibri" w:eastAsia="Calibri" w:hAnsi="Calibri"/>
          <w:b/>
          <w:bCs/>
          <w:color w:val="1B3A6B"/>
          <w:sz w:val="28"/>
          <w:szCs w:val="28"/>
        </w:rPr>
        <w:t xml:space="preserve">🔵 En bref — Tableau de bord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shd w:fill="1B3A6B" w:val="clear"/>
            <w:tcMar>
              <w:top w:type="dxa" w:w="60"/>
              <w:left w:type="dxa" w:w="80"/>
              <w:bottom w:type="dxa" w:w="60"/>
              <w:right w:type="dxa" w:w="80"/>
            </w:tcMar>
            <w:vAlign w:val="center"/>
          </w:tcPr>
          <w:p>
            <w:pPr>
              <w:jc w:val="center"/>
            </w:pPr>
            <w:r>
              <w:rPr>
                <w:rFonts w:ascii="Calibri" w:cs="Calibri" w:eastAsia="Calibri" w:hAnsi="Calibri"/>
                <w:b/>
                <w:bCs/>
                <w:color w:val="FFFFFF"/>
                <w:sz w:val="20"/>
                <w:szCs w:val="20"/>
              </w:rPr>
              <w:t xml:space="preserve">Thème</w:t>
            </w:r>
          </w:p>
        </w:tc>
        <w:tc>
          <w:tcPr>
            <w:shd w:fill="1B3A6B" w:val="clear"/>
            <w:tcMar>
              <w:top w:type="dxa" w:w="60"/>
              <w:left w:type="dxa" w:w="80"/>
              <w:bottom w:type="dxa" w:w="60"/>
              <w:right w:type="dxa" w:w="80"/>
            </w:tcMar>
            <w:vAlign w:val="center"/>
          </w:tcPr>
          <w:p>
            <w:pPr>
              <w:jc w:val="center"/>
            </w:pPr>
            <w:r>
              <w:rPr>
                <w:rFonts w:ascii="Calibri" w:cs="Calibri" w:eastAsia="Calibri" w:hAnsi="Calibri"/>
                <w:b/>
                <w:bCs/>
                <w:color w:val="FFFFFF"/>
                <w:sz w:val="20"/>
                <w:szCs w:val="20"/>
              </w:rPr>
              <w:t xml:space="preserve">Statut</w:t>
            </w:r>
          </w:p>
        </w:tc>
        <w:tc>
          <w:tcPr>
            <w:shd w:fill="1B3A6B" w:val="clear"/>
            <w:tcMar>
              <w:top w:type="dxa" w:w="60"/>
              <w:left w:type="dxa" w:w="80"/>
              <w:bottom w:type="dxa" w:w="60"/>
              <w:right w:type="dxa" w:w="80"/>
            </w:tcMar>
            <w:vAlign w:val="center"/>
          </w:tcPr>
          <w:p>
            <w:pPr>
              <w:jc w:val="center"/>
            </w:pPr>
            <w:r>
              <w:rPr>
                <w:rFonts w:ascii="Calibri" w:cs="Calibri" w:eastAsia="Calibri" w:hAnsi="Calibri"/>
                <w:b/>
                <w:bCs/>
                <w:color w:val="FFFFFF"/>
                <w:sz w:val="20"/>
                <w:szCs w:val="20"/>
              </w:rPr>
              <w:t xml:space="preserve">Échéance</w:t>
            </w:r>
          </w:p>
        </w:tc>
      </w:tr>
      <w:tr>
        <w:tc>
          <w:tcPr>
            <w:shd w:fill="FFFFFF"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Actualités de la semaine (05–12/08/2026)</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 Semaine creuse — aucune publication identifiée</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w:t>
            </w:r>
          </w:p>
        </w:tc>
      </w:tr>
      <w:tr>
        <w:tc>
          <w:tcPr>
            <w:shd w:fill="EEF2F7"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Recueil PH 2026 (collecte ESMS)</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Phase terminée — traitement en cours (CNSA/ATIH)</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Juillet 2026 (clôture recueil)</w:t>
            </w:r>
          </w:p>
        </w:tc>
      </w:tr>
      <w:tr>
        <w:tc>
          <w:tcPr>
            <w:shd w:fill="FFFFFF"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Simulation des dotations</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En cours (CNSA + ATIH)</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Fin 2026</w:t>
            </w:r>
          </w:p>
        </w:tc>
      </w:tr>
      <w:tr>
        <w:tc>
          <w:tcPr>
            <w:shd w:fill="EEF2F7"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Déploiement modèle tarifaire</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Préparation — secteur enfance prioritaire</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1ᵉʳ janvier 2027</w:t>
            </w:r>
          </w:p>
        </w:tc>
      </w:tr>
      <w:tr>
        <w:tc>
          <w:tcPr>
            <w:shd w:fill="FFFFFF"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Convergence progressive</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Période de 8 ans prévue</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2027 → 2035 (estimé)</w:t>
            </w:r>
          </w:p>
        </w:tc>
      </w:tr>
    </w:tbl>
    <w:p>
      <w:pPr>
        <w:spacing w:after="0" w:before="100"/>
      </w:pPr>
    </w:p>
    <w:p>
      <w:pPr>
        <w:pBdr>
          <w:bottom w:val="single" w:color="1B3A6B" w:sz="4"/>
        </w:pBdr>
        <w:spacing w:after="160" w:before="160"/>
      </w:pPr>
    </w:p>
    <w:p>
      <w:pPr>
        <w:spacing w:after="100" w:before="300"/>
      </w:pPr>
      <w:r>
        <w:rPr>
          <w:rFonts w:ascii="Calibri" w:cs="Calibri" w:eastAsia="Calibri" w:hAnsi="Calibri"/>
          <w:b/>
          <w:bCs/>
          <w:color w:val="1B3A6B"/>
          <w:sz w:val="28"/>
          <w:szCs w:val="28"/>
        </w:rPr>
        <w:t xml:space="preserve">📅 Actualités de la semaine (05/08/2026 – 12/08/2026)</w:t>
      </w:r>
    </w:p>
    <w:p>
      <w:pPr>
        <w:spacing w:after="80" w:before="80"/>
      </w:pPr>
      <w:r>
        <w:rPr>
          <w:rFonts w:ascii="Calibri" w:cs="Calibri" w:eastAsia="Calibri" w:hAnsi="Calibri"/>
          <w:b/>
          <w:bCs/>
          <w:color w:val="B45309"/>
          <w:sz w:val="22"/>
          <w:szCs w:val="22"/>
        </w:rPr>
        <w:t xml:space="preserve">🟡 Semaine creuse — Aucune publication officielle identifiée dans la fenêtre.</w:t>
      </w:r>
    </w:p>
    <w:p>
      <w:pPr>
        <w:spacing w:after="60" w:before="60"/>
      </w:pPr>
      <w:r>
        <w:rPr>
          <w:rFonts w:ascii="Calibri" w:cs="Calibri" w:eastAsia="Calibri" w:hAnsi="Calibri"/>
          <w:color w:val="1F2937"/>
          <w:sz w:val="22"/>
          <w:szCs w:val="22"/>
        </w:rPr>
        <w:t xml:space="preserve">Après interrogation des sources institutionnelles (handicap.gouv.fr, cnsa.fr, atih.sante.fr, legifrance.gouv.fr), aucune publication, décision, note ou actualité datée entre le 5 et le 12 août 2026 n'a pu être identifiée concernant SERAFIN-PH.</w:t>
      </w:r>
    </w:p>
    <w:p>
      <w:pPr>
        <w:spacing w:after="60" w:before="60"/>
      </w:pPr>
      <w:r>
        <w:rPr>
          <w:rFonts w:ascii="Calibri" w:cs="Calibri" w:eastAsia="Calibri" w:hAnsi="Calibri"/>
          <w:color w:val="1F2937"/>
          <w:sz w:val="22"/>
          <w:szCs w:val="22"/>
        </w:rPr>
        <w:t xml:space="preserve">Cela est cohérent avec le calendrier de la réforme : le recueil PH 2026 (collecte mars–juillet 2026) vient de se clore, et les équipes CNSA/ATIH sont en phase d'analyse et de simulation des dotations, dont les résultats sont attendus pour la fin 2026.</w:t>
      </w:r>
    </w:p>
    <w:p>
      <w:pPr>
        <w:spacing w:after="60" w:before="60"/>
      </w:pPr>
      <w:r>
        <w:rPr>
          <w:rFonts w:ascii="Calibri" w:cs="Calibri" w:eastAsia="Calibri" w:hAnsi="Calibri"/>
          <w:i/>
          <w:iCs/>
          <w:color w:val="6B7280"/>
          <w:sz w:val="20"/>
          <w:szCs w:val="20"/>
        </w:rPr>
        <w:t xml:space="preserve">Conformément aux règles de rigueur documentaire de cette veille : une semaine honnêtement vide est préférable à une note artificiellement fournie avec des éléments anciens.</w:t>
      </w:r>
    </w:p>
    <w:p>
      <w:pPr>
        <w:pBdr>
          <w:bottom w:val="single" w:color="1B3A6B" w:sz="4"/>
        </w:pBdr>
        <w:spacing w:after="160" w:before="160"/>
      </w:pPr>
    </w:p>
    <w:p>
      <w:pPr>
        <w:spacing w:after="100" w:before="300"/>
      </w:pPr>
      <w:r>
        <w:rPr>
          <w:rFonts w:ascii="Calibri" w:cs="Calibri" w:eastAsia="Calibri" w:hAnsi="Calibri"/>
          <w:b/>
          <w:bCs/>
          <w:color w:val="1B3A6B"/>
          <w:sz w:val="28"/>
          <w:szCs w:val="28"/>
        </w:rPr>
        <w:t xml:space="preserve">📋 Rappel de contexte (éléments hors fenêtre — pour mémoire)</w:t>
      </w:r>
    </w:p>
    <w:p>
      <w:pPr>
        <w:spacing w:after="60" w:before="60"/>
      </w:pPr>
      <w:r>
        <w:rPr>
          <w:rFonts w:ascii="Calibri" w:cs="Calibri" w:eastAsia="Calibri" w:hAnsi="Calibri"/>
          <w:i/>
          <w:iCs/>
          <w:color w:val="6B7280"/>
          <w:sz w:val="20"/>
          <w:szCs w:val="20"/>
        </w:rPr>
        <w:t xml:space="preserve">Les éléments ci-dessous sont datés hors de la fenêtre du 05 au 12/08/2026. Ils sont présentés à titre de contexte, avec leurs dates affichées.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Pr>
        <w:tc>
          <w:tcPr>
            <w:shd w:fill="1B3A6B" w:val="clear"/>
            <w:tcMar>
              <w:top w:type="dxa" w:w="60"/>
              <w:left w:type="dxa" w:w="80"/>
              <w:bottom w:type="dxa" w:w="60"/>
              <w:right w:type="dxa" w:w="80"/>
            </w:tcMar>
            <w:vAlign w:val="center"/>
          </w:tcPr>
          <w:p>
            <w:pPr>
              <w:jc w:val="center"/>
            </w:pPr>
            <w:r>
              <w:rPr>
                <w:rFonts w:ascii="Calibri" w:cs="Calibri" w:eastAsia="Calibri" w:hAnsi="Calibri"/>
                <w:b/>
                <w:bCs/>
                <w:color w:val="FFFFFF"/>
                <w:sz w:val="20"/>
                <w:szCs w:val="20"/>
              </w:rPr>
              <w:t xml:space="preserve">Date événement</w:t>
            </w:r>
          </w:p>
        </w:tc>
        <w:tc>
          <w:tcPr>
            <w:shd w:fill="1B3A6B" w:val="clear"/>
            <w:tcMar>
              <w:top w:type="dxa" w:w="60"/>
              <w:left w:type="dxa" w:w="80"/>
              <w:bottom w:type="dxa" w:w="60"/>
              <w:right w:type="dxa" w:w="80"/>
            </w:tcMar>
            <w:vAlign w:val="center"/>
          </w:tcPr>
          <w:p>
            <w:pPr>
              <w:jc w:val="center"/>
            </w:pPr>
            <w:r>
              <w:rPr>
                <w:rFonts w:ascii="Calibri" w:cs="Calibri" w:eastAsia="Calibri" w:hAnsi="Calibri"/>
                <w:b/>
                <w:bCs/>
                <w:color w:val="FFFFFF"/>
                <w:sz w:val="20"/>
                <w:szCs w:val="20"/>
              </w:rPr>
              <w:t xml:space="preserve">Date publication</w:t>
            </w:r>
          </w:p>
        </w:tc>
        <w:tc>
          <w:tcPr>
            <w:shd w:fill="1B3A6B" w:val="clear"/>
            <w:tcMar>
              <w:top w:type="dxa" w:w="60"/>
              <w:left w:type="dxa" w:w="80"/>
              <w:bottom w:type="dxa" w:w="60"/>
              <w:right w:type="dxa" w:w="80"/>
            </w:tcMar>
            <w:vAlign w:val="center"/>
          </w:tcPr>
          <w:p>
            <w:pPr>
              <w:jc w:val="center"/>
            </w:pPr>
            <w:r>
              <w:rPr>
                <w:rFonts w:ascii="Calibri" w:cs="Calibri" w:eastAsia="Calibri" w:hAnsi="Calibri"/>
                <w:b/>
                <w:bCs/>
                <w:color w:val="FFFFFF"/>
                <w:sz w:val="20"/>
                <w:szCs w:val="20"/>
              </w:rPr>
              <w:t xml:space="preserve">Élément</w:t>
            </w:r>
          </w:p>
        </w:tc>
        <w:tc>
          <w:tcPr>
            <w:shd w:fill="1B3A6B" w:val="clear"/>
            <w:tcMar>
              <w:top w:type="dxa" w:w="60"/>
              <w:left w:type="dxa" w:w="80"/>
              <w:bottom w:type="dxa" w:w="60"/>
              <w:right w:type="dxa" w:w="80"/>
            </w:tcMar>
            <w:vAlign w:val="center"/>
          </w:tcPr>
          <w:p>
            <w:pPr>
              <w:jc w:val="center"/>
            </w:pPr>
            <w:r>
              <w:rPr>
                <w:rFonts w:ascii="Calibri" w:cs="Calibri" w:eastAsia="Calibri" w:hAnsi="Calibri"/>
                <w:b/>
                <w:bCs/>
                <w:color w:val="FFFFFF"/>
                <w:sz w:val="20"/>
                <w:szCs w:val="20"/>
              </w:rPr>
              <w:t xml:space="preserve">Source primaire</w:t>
            </w:r>
          </w:p>
        </w:tc>
      </w:tr>
      <w:tr>
        <w:tc>
          <w:tcPr>
            <w:shd w:fill="FFFFFF"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13 mai 2026</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16 mai 2026 (JORF n°0114)</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Décret n° 2026-376 fixant les conditions de transmission des données pour le calcul des dotations globales (article 90 LFSS 2026). Obligations : vérification, validation et transmission via SIDOBA CNSA. Conservation des données : 10 ans max. Avis CNIL favorable : 26 mars 2026.</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Légifrance ✅</w:t>
            </w:r>
          </w:p>
        </w:tc>
      </w:tr>
      <w:tr>
        <w:tc>
          <w:tcPr>
            <w:shd w:fill="EEF2F7"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Mars–juillet 2026</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Calendrier connu depuis déc. 2025</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Recueil PH 2026 : ouverture SIDOBA (fév. 2026), recueil phase 1 - caractéristiques des places (avril 2026), phase 2 - activité et dotation complémentaire (mai 2026), clôture et export données CNSA (juillet 2026).</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CNSA ✅ / WebSearch ATIH ⛔ secondaire</w:t>
            </w:r>
          </w:p>
        </w:tc>
      </w:tr>
      <w:tr>
        <w:tc>
          <w:tcPr>
            <w:shd w:fill="FFFFFF"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2 juillet 2025</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3 juillet 2025</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Comité stratégique SERAFIN-PH : 86 % des établissements ont répondu au recueil 2025 (90 % des solutions installées représentées). Prochaines étapes annoncées : finaliser modèle de transition, préparer recueil 2026 à périmètre réduit, partager les impacts au niveau établissement.</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handicap.gouv.fr ✅</w:t>
            </w:r>
          </w:p>
        </w:tc>
      </w:tr>
      <w:tr>
        <w:tc>
          <w:tcPr>
            <w:shd w:fill="EEF2F7"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Décembre 2025</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17 décembre 2025</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Note CNSA/DGCS : le recueil PH 2026 portera sur « une quarantaine de variables strictement nécessaires ». Pas de recensement des accompagnements individuels. Phase 1 centrée sur caractéristiques des places (mars 2026), phase 2 indicateurs activité et dotation complémentaire (mai 2026).</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CNSA ✅</w:t>
            </w:r>
          </w:p>
        </w:tc>
      </w:tr>
    </w:tbl>
    <w:p>
      <w:pPr>
        <w:spacing w:after="0" w:before="100"/>
      </w:pPr>
    </w:p>
    <w:p>
      <w:pPr>
        <w:pBdr>
          <w:bottom w:val="single" w:color="1B3A6B" w:sz="4"/>
        </w:pBdr>
        <w:spacing w:after="160" w:before="160"/>
      </w:pPr>
    </w:p>
    <w:p>
      <w:pPr>
        <w:spacing w:after="100" w:before="300"/>
      </w:pPr>
      <w:r>
        <w:rPr>
          <w:rFonts w:ascii="Calibri" w:cs="Calibri" w:eastAsia="Calibri" w:hAnsi="Calibri"/>
          <w:b/>
          <w:bCs/>
          <w:color w:val="1B3A6B"/>
          <w:sz w:val="28"/>
          <w:szCs w:val="28"/>
        </w:rPr>
        <w:t xml:space="preserve">⚠️ Points de vigilance pour les directions d'ESSMS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shd w:fill="1B3A6B" w:val="clear"/>
            <w:tcMar>
              <w:top w:type="dxa" w:w="60"/>
              <w:left w:type="dxa" w:w="80"/>
              <w:bottom w:type="dxa" w:w="60"/>
              <w:right w:type="dxa" w:w="80"/>
            </w:tcMar>
            <w:vAlign w:val="center"/>
          </w:tcPr>
          <w:p>
            <w:pPr>
              <w:jc w:val="center"/>
            </w:pPr>
            <w:r>
              <w:rPr>
                <w:rFonts w:ascii="Calibri" w:cs="Calibri" w:eastAsia="Calibri" w:hAnsi="Calibri"/>
                <w:b/>
                <w:bCs/>
                <w:color w:val="FFFFFF"/>
                <w:sz w:val="20"/>
                <w:szCs w:val="20"/>
              </w:rPr>
              <w:t xml:space="preserve">Point</w:t>
            </w:r>
          </w:p>
        </w:tc>
        <w:tc>
          <w:tcPr>
            <w:shd w:fill="1B3A6B" w:val="clear"/>
            <w:tcMar>
              <w:top w:type="dxa" w:w="60"/>
              <w:left w:type="dxa" w:w="80"/>
              <w:bottom w:type="dxa" w:w="60"/>
              <w:right w:type="dxa" w:w="80"/>
            </w:tcMar>
            <w:vAlign w:val="center"/>
          </w:tcPr>
          <w:p>
            <w:pPr>
              <w:jc w:val="center"/>
            </w:pPr>
            <w:r>
              <w:rPr>
                <w:rFonts w:ascii="Calibri" w:cs="Calibri" w:eastAsia="Calibri" w:hAnsi="Calibri"/>
                <w:b/>
                <w:bCs/>
                <w:color w:val="FFFFFF"/>
                <w:sz w:val="20"/>
                <w:szCs w:val="20"/>
              </w:rPr>
              <w:t xml:space="preserve">Détail pratique</w:t>
            </w:r>
          </w:p>
        </w:tc>
      </w:tr>
      <w:tr>
        <w:tc>
          <w:tcPr>
            <w:shd w:fill="FFFFFF"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 Vérifier la complétude du recueil PH 2026</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Si votre établissement accompagne des mineurs/jeunes adultes handicapés et n'a pas transmis ses données via SIDOBA avant juillet 2026, contactez votre ARS sans délai. Une absence de données peut affecter le calcul de la dotation 2027.</w:t>
            </w:r>
          </w:p>
        </w:tc>
      </w:tr>
      <w:tr>
        <w:tc>
          <w:tcPr>
            <w:shd w:fill="EEF2F7"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 Phase de simulation : attente des résultats</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La CNSA et l'ATIH sont en cours de simulation des dotations individuelles pour chaque établissement concerné. Les résultats sont attendus fin 2026. Aucune action requise de la part des établissements en août 2026, mais il faut anticiper les échanges ARS au 4ᵉ trimestre.</w:t>
            </w:r>
          </w:p>
        </w:tc>
      </w:tr>
      <w:tr>
        <w:tc>
          <w:tcPr>
            <w:shd w:fill="FFFFFF"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 Obligations légales issues du décret n° 2026-376</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La transmission des données via SIDOBA est une obligation légale (article 90 LFSS 2026). Conservation des données imposée : 10 ans. Vérifier que votre DPO est informé du traitement et du périmètre de données transmises.</w:t>
            </w:r>
          </w:p>
        </w:tc>
      </w:tr>
      <w:tr>
        <w:tc>
          <w:tcPr>
            <w:shd w:fill="EEF2F7"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 Secteur adultes : calendrier encore non arrêté</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Le déploiement prévu au 1ᵉʳ janvier 2027 concerne en priorité le secteur enfance. Les modalités pour les ESSMS adultes (foyers d'hébergement, FAM, MAS, SAVS, SAMSAH) ne sont pas encore arrêtées à ce stade. Suivre les publications CNSA/DGCS.</w:t>
            </w:r>
          </w:p>
        </w:tc>
      </w:tr>
      <w:tr>
        <w:tc>
          <w:tcPr>
            <w:shd w:fill="FFFFFF"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 Convergence progressive : anticiper les impacts budgétaires</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La période de convergence est prévue sur 8 ans (2027–2035 estimé). Les gestionnaires doivent anticiper que leur dotation actuelle peut évoluer progressivement — à la hausse ou à la baisse — selon le positionnement de l'établissement par rapport au modèle tarifaire cible.</w:t>
            </w:r>
          </w:p>
        </w:tc>
      </w:tr>
    </w:tbl>
    <w:p>
      <w:pPr>
        <w:spacing w:after="0" w:before="100"/>
      </w:pPr>
    </w:p>
    <w:p>
      <w:pPr>
        <w:pBdr>
          <w:bottom w:val="single" w:color="1B3A6B" w:sz="4"/>
        </w:pBdr>
        <w:spacing w:after="160" w:before="160"/>
      </w:pPr>
    </w:p>
    <w:p>
      <w:pPr>
        <w:spacing w:after="100" w:before="300"/>
      </w:pPr>
      <w:r>
        <w:rPr>
          <w:rFonts w:ascii="Calibri" w:cs="Calibri" w:eastAsia="Calibri" w:hAnsi="Calibri"/>
          <w:b/>
          <w:bCs/>
          <w:color w:val="1B3A6B"/>
          <w:sz w:val="28"/>
          <w:szCs w:val="28"/>
        </w:rPr>
        <w:t xml:space="preserve">📅 Agenda — Prochains rendez-vous</w:t>
      </w:r>
    </w:p>
    <w:p>
      <w:pPr>
        <w:spacing w:after="60" w:before="60"/>
      </w:pPr>
      <w:r>
        <w:rPr>
          <w:rFonts w:ascii="Calibri" w:cs="Calibri" w:eastAsia="Calibri" w:hAnsi="Calibri"/>
          <w:color w:val="1F2937"/>
          <w:sz w:val="22"/>
          <w:szCs w:val="22"/>
        </w:rPr>
        <w:t xml:space="preserve">[ ] Fin 2026 — Transmission par la CNSA/ATIH des résultats de simulation des dotations aux ARS (secteur enfance)</w:t>
      </w:r>
    </w:p>
    <w:p>
      <w:pPr>
        <w:spacing w:after="60" w:before="60"/>
      </w:pPr>
      <w:r>
        <w:rPr>
          <w:rFonts w:ascii="Calibri" w:cs="Calibri" w:eastAsia="Calibri" w:hAnsi="Calibri"/>
          <w:color w:val="1F2937"/>
          <w:sz w:val="22"/>
          <w:szCs w:val="22"/>
        </w:rPr>
        <w:t xml:space="preserve">[ ] 4ᵉ trimestre 2026 — Échanges entre ARS et établissements du secteur enfance sur l'impact de la réforme au niveau individuel</w:t>
      </w:r>
    </w:p>
    <w:p>
      <w:pPr>
        <w:spacing w:after="60" w:before="60"/>
      </w:pPr>
      <w:r>
        <w:rPr>
          <w:rFonts w:ascii="Calibri" w:cs="Calibri" w:eastAsia="Calibri" w:hAnsi="Calibri"/>
          <w:color w:val="1F2937"/>
          <w:sz w:val="22"/>
          <w:szCs w:val="22"/>
        </w:rPr>
        <w:t xml:space="preserve">[ ] 1ᵉʳ janvier 2027 — Déploiement opérationnel du nouveau modèle tarifaire SERAFIN-PH (secteur enfance, période de convergence de 8 ans)</w:t>
      </w:r>
    </w:p>
    <w:p>
      <w:pPr>
        <w:spacing w:after="60" w:before="60"/>
      </w:pPr>
      <w:r>
        <w:rPr>
          <w:rFonts w:ascii="Calibri" w:cs="Calibri" w:eastAsia="Calibri" w:hAnsi="Calibri"/>
          <w:color w:val="1F2937"/>
          <w:sz w:val="22"/>
          <w:szCs w:val="22"/>
        </w:rPr>
        <w:t xml:space="preserve">[ ] 2027 — Publication attendue des modalités de déploiement pour le secteur adultes (pas de date officielle à ce jour)</w:t>
      </w:r>
    </w:p>
    <w:p>
      <w:pPr>
        <w:spacing w:after="60" w:before="60"/>
      </w:pPr>
      <w:r>
        <w:rPr>
          <w:rFonts w:ascii="Calibri" w:cs="Calibri" w:eastAsia="Calibri" w:hAnsi="Calibri"/>
          <w:color w:val="1F2937"/>
          <w:sz w:val="22"/>
          <w:szCs w:val="22"/>
        </w:rPr>
        <w:t xml:space="preserve">[ ] À surveiller — Prochaine publication CNSA sur SERAFIN-PH (comité stratégique, note de cadrage, instruction)</w:t>
      </w:r>
    </w:p>
    <w:p>
      <w:pPr>
        <w:pBdr>
          <w:bottom w:val="single" w:color="1B3A6B" w:sz="4"/>
        </w:pBdr>
        <w:spacing w:after="160" w:before="160"/>
      </w:pPr>
    </w:p>
    <w:p>
      <w:pPr>
        <w:spacing w:after="100" w:before="300"/>
      </w:pPr>
      <w:r>
        <w:rPr>
          <w:rFonts w:ascii="Calibri" w:cs="Calibri" w:eastAsia="Calibri" w:hAnsi="Calibri"/>
          <w:b/>
          <w:bCs/>
          <w:color w:val="1B3A6B"/>
          <w:sz w:val="28"/>
          <w:szCs w:val="28"/>
        </w:rPr>
        <w:t xml:space="preserve">🏛️ Rappel SERAFIN-PH : rôle de chaque acteur</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shd w:fill="1B3A6B" w:val="clear"/>
            <w:tcMar>
              <w:top w:type="dxa" w:w="60"/>
              <w:left w:type="dxa" w:w="80"/>
              <w:bottom w:type="dxa" w:w="60"/>
              <w:right w:type="dxa" w:w="80"/>
            </w:tcMar>
            <w:vAlign w:val="center"/>
          </w:tcPr>
          <w:p>
            <w:pPr>
              <w:jc w:val="center"/>
            </w:pPr>
            <w:r>
              <w:rPr>
                <w:rFonts w:ascii="Calibri" w:cs="Calibri" w:eastAsia="Calibri" w:hAnsi="Calibri"/>
                <w:b/>
                <w:bCs/>
                <w:color w:val="FFFFFF"/>
                <w:sz w:val="20"/>
                <w:szCs w:val="20"/>
              </w:rPr>
              <w:t xml:space="preserve">Acteur</w:t>
            </w:r>
          </w:p>
        </w:tc>
        <w:tc>
          <w:tcPr>
            <w:shd w:fill="1B3A6B" w:val="clear"/>
            <w:tcMar>
              <w:top w:type="dxa" w:w="60"/>
              <w:left w:type="dxa" w:w="80"/>
              <w:bottom w:type="dxa" w:w="60"/>
              <w:right w:type="dxa" w:w="80"/>
            </w:tcMar>
            <w:vAlign w:val="center"/>
          </w:tcPr>
          <w:p>
            <w:pPr>
              <w:jc w:val="center"/>
            </w:pPr>
            <w:r>
              <w:rPr>
                <w:rFonts w:ascii="Calibri" w:cs="Calibri" w:eastAsia="Calibri" w:hAnsi="Calibri"/>
                <w:b/>
                <w:bCs/>
                <w:color w:val="FFFFFF"/>
                <w:sz w:val="20"/>
                <w:szCs w:val="20"/>
              </w:rPr>
              <w:t xml:space="preserve">Rôle dans SERAFIN-PH</w:t>
            </w:r>
          </w:p>
        </w:tc>
      </w:tr>
      <w:tr>
        <w:tc>
          <w:tcPr>
            <w:shd w:fill="FFFFFF"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DGCS (Direction générale de la cohésion sociale)</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Pilotage national de la réforme, co-responsable du traitement des données avec la CNSA, accès au système pour politiques publiques.</w:t>
            </w:r>
          </w:p>
        </w:tc>
      </w:tr>
      <w:tr>
        <w:tc>
          <w:tcPr>
            <w:shd w:fill="EEF2F7"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CNSA (Caisse nationale de solidarité pour l'autonomie)</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Responsable conjointe du traitement, met à disposition le SI SIDOBA, assure l'export des données et la simulation des dotations. Publie les notes de cadrage.</w:t>
            </w:r>
          </w:p>
        </w:tc>
      </w:tr>
      <w:tr>
        <w:tc>
          <w:tcPr>
            <w:shd w:fill="FFFFFF"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ATIH (Agence technique de l'information sur l'hospitalisation)</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Expertise technique du recueil de données médico-économiques, production du guide méthodologique, fourniture des outils de recueil (RAMSECE-PH, etc.).</w:t>
            </w:r>
          </w:p>
        </w:tc>
      </w:tr>
      <w:tr>
        <w:tc>
          <w:tcPr>
            <w:shd w:fill="EEF2F7"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ARS (Agences régionales de santé)</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Vérification des données pour les établissements de leur ressort, relais local auprès des ESSMS, transmission des impacts de simulation.</w:t>
            </w:r>
          </w:p>
        </w:tc>
      </w:tr>
      <w:tr>
        <w:tc>
          <w:tcPr>
            <w:shd w:fill="FFFFFF"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ESSMS (Établissements et services médico-sociaux)</w:t>
            </w:r>
          </w:p>
        </w:tc>
        <w:tc>
          <w:tcPr>
            <w:shd w:fill="FFFFFF"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Transmission obligatoire des données via SIDOBA, vérification et validation. Récepteurs du nouveau modèle tarifaire à partir de 2027.</w:t>
            </w:r>
          </w:p>
        </w:tc>
      </w:tr>
      <w:tr>
        <w:tc>
          <w:tcPr>
            <w:shd w:fill="EEF2F7" w:val="clear"/>
            <w:tcMar>
              <w:top w:type="dxa" w:w="60"/>
              <w:left w:type="dxa" w:w="80"/>
              <w:bottom w:type="dxa" w:w="60"/>
              <w:right w:type="dxa" w:w="80"/>
            </w:tcMar>
            <w:vAlign w:val="center"/>
          </w:tcPr>
          <w:p>
            <w:pPr>
              <w:jc w:val="left"/>
            </w:pPr>
            <w:r>
              <w:rPr>
                <w:rFonts w:ascii="Calibri" w:cs="Calibri" w:eastAsia="Calibri" w:hAnsi="Calibri"/>
                <w:color w:val="1F2937"/>
                <w:sz w:val="20"/>
                <w:szCs w:val="20"/>
              </w:rPr>
              <w:t xml:space="preserve">CNIL</w:t>
            </w:r>
          </w:p>
        </w:tc>
        <w:tc>
          <w:tcPr>
            <w:shd w:fill="EEF2F7" w:val="clear"/>
            <w:tcMar>
              <w:top w:type="dxa" w:w="60"/>
              <w:left w:type="dxa" w:w="80"/>
              <w:bottom w:type="dxa" w:w="60"/>
              <w:right w:type="dxa" w:w="80"/>
            </w:tcMar>
            <w:vAlign w:val="center"/>
          </w:tcPr>
          <w:p>
            <w:pPr>
              <w:jc w:val="center"/>
            </w:pPr>
            <w:r>
              <w:rPr>
                <w:rFonts w:ascii="Calibri" w:cs="Calibri" w:eastAsia="Calibri" w:hAnsi="Calibri"/>
                <w:color w:val="1F2937"/>
                <w:sz w:val="20"/>
                <w:szCs w:val="20"/>
              </w:rPr>
              <w:t xml:space="preserve">Avis rendu le 26 mars 2026 sur le traitement de données lié au décret n° 2026-376. Garant du cadre RGPD applicable.</w:t>
            </w:r>
          </w:p>
        </w:tc>
      </w:tr>
    </w:tbl>
    <w:p>
      <w:pPr>
        <w:spacing w:after="0" w:before="100"/>
      </w:pPr>
    </w:p>
    <w:p>
      <w:pPr>
        <w:pBdr>
          <w:bottom w:val="single" w:color="1B3A6B" w:sz="4"/>
        </w:pBdr>
        <w:spacing w:after="160" w:before="160"/>
      </w:pPr>
    </w:p>
    <w:p>
      <w:pPr>
        <w:spacing w:after="60" w:before="80"/>
      </w:pPr>
      <w:r>
        <w:rPr>
          <w:rFonts w:ascii="Calibri" w:cs="Calibri" w:eastAsia="Calibri" w:hAnsi="Calibri"/>
          <w:b/>
          <w:bCs/>
          <w:color w:val="1B3A6B"/>
          <w:sz w:val="20"/>
          <w:szCs w:val="20"/>
        </w:rPr>
        <w:t xml:space="preserve">Pied de page — Statut des sources</w:t>
      </w:r>
    </w:p>
    <w:p>
      <w:pPr>
        <w:spacing w:after="60" w:before="60"/>
      </w:pPr>
      <w:r>
        <w:rPr>
          <w:rFonts w:ascii="Calibri" w:cs="Calibri" w:eastAsia="Calibri" w:hAnsi="Calibri"/>
          <w:i/>
          <w:iCs/>
          <w:color w:val="6B7280"/>
          <w:sz w:val="20"/>
          <w:szCs w:val="20"/>
        </w:rPr>
        <w:t xml:space="preserve">Date de production : 12 août 2026 | Fenêtre couverte : 05/08/2026 – 12/08/2026</w:t>
      </w:r>
    </w:p>
    <w:p>
      <w:pPr>
        <w:spacing w:after="60" w:before="60"/>
      </w:pPr>
      <w:r>
        <w:rPr>
          <w:rFonts w:ascii="Calibri" w:cs="Calibri" w:eastAsia="Calibri" w:hAnsi="Calibri"/>
          <w:i/>
          <w:iCs/>
          <w:color w:val="6B7280"/>
          <w:sz w:val="20"/>
          <w:szCs w:val="20"/>
        </w:rPr>
        <w:t xml:space="preserve">Sources consultées ✅ : handicap.gouv.fr, cnsa.fr (2 pages), legifrance.gouv.fr — 4 sources primaires</w:t>
      </w:r>
    </w:p>
    <w:p>
      <w:pPr>
        <w:spacing w:after="60" w:before="60"/>
      </w:pPr>
      <w:r>
        <w:rPr>
          <w:rFonts w:ascii="Calibri" w:cs="Calibri" w:eastAsia="Calibri" w:hAnsi="Calibri"/>
          <w:i/>
          <w:iCs/>
          <w:color w:val="6B7280"/>
          <w:sz w:val="20"/>
          <w:szCs w:val="20"/>
        </w:rPr>
        <w:t xml:space="preserve">Sources bloquées ⛔ : atih.sante.fr (HTTP 403 systématique sur WebFetch automatique)</w:t>
      </w:r>
    </w:p>
    <w:p>
      <w:pPr>
        <w:spacing w:after="60" w:before="60"/>
      </w:pPr>
      <w:r>
        <w:rPr>
          <w:rFonts w:ascii="Calibri" w:cs="Calibri" w:eastAsia="Calibri" w:hAnsi="Calibri"/>
          <w:i/>
          <w:iCs/>
          <w:color w:val="6B7280"/>
          <w:sz w:val="20"/>
          <w:szCs w:val="20"/>
        </w:rPr>
        <w:t xml:space="preserve">Aucune affirmation de mémoire — tous les éléments de contexte sont datés avec leur source primaire identifiée.</w:t>
      </w:r>
    </w:p>
    <w:p>
      <w:pPr>
        <w:spacing w:after="60" w:before="60"/>
      </w:pPr>
      <w:r>
        <w:rPr>
          <w:rFonts w:ascii="Calibri" w:cs="Calibri" w:eastAsia="Calibri" w:hAnsi="Calibri"/>
          <w:i/>
          <w:iCs/>
          <w:color w:val="6B7280"/>
          <w:sz w:val="20"/>
          <w:szCs w:val="20"/>
        </w:rPr>
        <w:t xml:space="preserve">Ce document est à usage interne (direction, chef de service). Il ne constitue pas un avis juridique.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2026-08-12T06:08:14.262Z</dcterms:created>
  <dcterms:modified xsi:type="dcterms:W3CDTF">2026-08-12T06:08:14.263Z</dcterms:modified>
</cp:coreProperties>
</file>

<file path=docProps/custom.xml><?xml version="1.0" encoding="utf-8"?>
<Properties xmlns="http://schemas.openxmlformats.org/officeDocument/2006/custom-properties" xmlns:vt="http://schemas.openxmlformats.org/officeDocument/2006/docPropsVTypes"/>
</file>