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34"/>
          <w:szCs w:val="34"/>
        </w:rPr>
        <w:t xml:space="preserve">RBPP TDI Volet 2 — Accompagnement des personnes avec un trouble du développement intellectuel</w:t>
      </w:r>
    </w:p>
    <w:p>
      <w:pPr>
        <w:spacing w:after="80" w:before="0"/>
        <w:jc w:val="center"/>
      </w:pPr>
      <w:r>
        <w:rPr>
          <w:rFonts w:ascii="Calibri" w:cs="Calibri" w:eastAsia="Calibri" w:hAnsi="Calibri"/>
          <w:i/>
          <w:iCs/>
          <w:color w:val="6B7280"/>
          <w:sz w:val="20"/>
          <w:szCs w:val="20"/>
        </w:rPr>
        <w:t xml:space="preserve">Veille RBPP | Date de production : 2026-04-17 | Publication HAS : 18 novembre 2025</w:t>
      </w:r>
    </w:p>
    <w:p>
      <w:pPr>
        <w:spacing w:after="160" w:before="0"/>
        <w:jc w:val="center"/>
      </w:pPr>
      <w:r>
        <w:rPr>
          <w:rFonts w:ascii="Calibri" w:cs="Calibri" w:eastAsia="Calibri" w:hAnsi="Calibri"/>
          <w:i/>
          <w:iCs/>
          <w:color w:val="6B7280"/>
          <w:sz w:val="20"/>
          <w:szCs w:val="20"/>
        </w:rPr>
        <w:t xml:space="preserve">Public cible : Professionnels des ESSMS (foyer de vie, FAM, MAS, SAVS, SAMSAH) accompagnant des personnes adultes avec TDI</w:t>
      </w:r>
    </w:p>
    <w:p>
      <w:pPr>
        <w:spacing w:after="120" w:before="280"/>
      </w:pPr>
      <w:r>
        <w:rPr>
          <w:rFonts w:ascii="Calibri" w:cs="Calibri" w:eastAsia="Calibri" w:hAnsi="Calibri"/>
          <w:b/>
          <w:bCs/>
          <w:color w:val="1B3A6B"/>
          <w:sz w:val="28"/>
          <w:szCs w:val="28"/>
        </w:rPr>
        <w:t xml:space="preserv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Source</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URL</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Statut</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HAS — RBPP TDI Volet 2</w:t>
            </w:r>
          </w:p>
        </w:tc>
        <w:tc>
          <w:tcPr>
            <w:shd w:fill="FFFFFF" w:val="clear"/>
            <w:tcMar>
              <w:top w:type="dxa" w:w="60"/>
              <w:left w:type="dxa" w:w="80"/>
              <w:bottom w:type="dxa" w:w="60"/>
              <w:right w:type="dxa" w:w="80"/>
            </w:tcMar>
          </w:tcPr>
          <w:p>
            <w:hyperlink w:history="1" r:id="rIdp37412392026">
              <w:r>
                <w:rPr>
                  <w:rFonts w:ascii="Calibri" w:cs="Calibri" w:eastAsia="Calibri" w:hAnsi="Calibri"/>
                  <w:sz w:val="20"/>
                  <w:szCs w:val="20"/>
                  <w:color w:val="1155CC"/>
                  <w:u w:val="single"/>
                </w:rPr>
                <w:t xml:space="preserve">has-sante.fr/jcms/p_3741239</w:t>
              </w:r>
            </w:hyperlink>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 Accessible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HAS — RBPP TDI Volet 1</w:t>
            </w:r>
          </w:p>
        </w:tc>
        <w:tc>
          <w:tcPr>
            <w:shd w:fill="EEF2F7" w:val="clear"/>
            <w:tcMar>
              <w:top w:type="dxa" w:w="60"/>
              <w:left w:type="dxa" w:w="80"/>
              <w:bottom w:type="dxa" w:w="60"/>
              <w:right w:type="dxa" w:w="80"/>
            </w:tcMar>
          </w:tcPr>
          <w:p>
            <w:hyperlink w:history="1" r:id="rIdp32378472026">
              <w:r>
                <w:rPr>
                  <w:rFonts w:ascii="Calibri" w:cs="Calibri" w:eastAsia="Calibri" w:hAnsi="Calibri"/>
                  <w:sz w:val="20"/>
                  <w:szCs w:val="20"/>
                  <w:color w:val="1155CC"/>
                  <w:u w:val="single"/>
                </w:rPr>
                <w:t xml:space="preserve">has-sante.fr/jcms/p_3237847</w:t>
              </w:r>
            </w:hyperlink>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 Accessible</w:t>
            </w:r>
          </w:p>
        </w:tc>
      </w:tr>
    </w:tbl>
    <w:p>
      <w:pPr>
        <w:spacing w:after="120" w:before="280"/>
      </w:pPr>
      <w:r>
        <w:rPr>
          <w:rFonts w:ascii="Calibri" w:cs="Calibri" w:eastAsia="Calibri" w:hAnsi="Calibri"/>
          <w:b/>
          <w:bCs/>
          <w:color w:val="1B3A6B"/>
          <w:sz w:val="28"/>
          <w:szCs w:val="28"/>
        </w:rPr>
        <w:t xml:space="preserve">1. Résumé exécutif</w:t>
      </w:r>
    </w:p>
    <w:p>
      <w:pPr>
        <w:spacing w:after="80" w:before="80"/>
      </w:pPr>
      <w:r>
        <w:rPr>
          <w:rFonts w:ascii="Calibri" w:cs="Calibri" w:eastAsia="Calibri" w:hAnsi="Calibri"/>
          <w:color w:val="1F2937"/>
          <w:sz w:val="22"/>
          <w:szCs w:val="22"/>
        </w:rPr>
        <w:t xml:space="preserve">Validée le 16 septembre 2025 et publiée en novembre 2025, cette recommandation de bonne pratique professionnelle constitue le second volet des RBPP sur l'accompagnement des personnes présentant un trouble du développement intellectuel (TDI). Elle prolonge le Volet 1 (publié en 2022, mis à jour en novembre 2025) en couvrant trois domaines de la vie quotidienne : la scolarité, le travail et la vie active, et les loisirs et le temps libre.</w:t>
      </w:r>
    </w:p>
    <w:p>
      <w:pPr>
        <w:spacing w:after="80" w:before="80"/>
      </w:pPr>
      <w:r>
        <w:rPr>
          <w:rFonts w:ascii="Calibri" w:cs="Calibri" w:eastAsia="Calibri" w:hAnsi="Calibri"/>
          <w:color w:val="1F2937"/>
          <w:sz w:val="22"/>
          <w:szCs w:val="22"/>
        </w:rPr>
        <w:t xml:space="preserve">Cette RBPP s'inscrit dans une dynamique nationale d'inclusion et d'autodétermination des personnes avec TDI, en accord avec la Convention ONU relative aux droits des personnes handicapées.</w:t>
      </w:r>
    </w:p>
    <w:p>
      <w:pPr>
        <w:spacing w:after="120" w:before="280"/>
      </w:pPr>
      <w:r>
        <w:rPr>
          <w:rFonts w:ascii="Calibri" w:cs="Calibri" w:eastAsia="Calibri" w:hAnsi="Calibri"/>
          <w:b/>
          <w:bCs/>
          <w:color w:val="1B3A6B"/>
          <w:sz w:val="28"/>
          <w:szCs w:val="28"/>
        </w:rPr>
        <w:t xml:space="preserve">2. Définition du TDI</w:t>
      </w:r>
    </w:p>
    <w:p>
      <w:pPr>
        <w:spacing w:after="80" w:before="80"/>
      </w:pPr>
      <w:r>
        <w:rPr>
          <w:rFonts w:ascii="Calibri" w:cs="Calibri" w:eastAsia="Calibri" w:hAnsi="Calibri"/>
          <w:color w:val="1F2937"/>
          <w:sz w:val="22"/>
          <w:szCs w:val="22"/>
        </w:rPr>
        <w:t xml:space="preserve">Le trouble du développement intellectuel (TDI) — anciennement désigné sous les termes déficience intellectuelle ou retard mental — se caractérise par :</w:t>
      </w:r>
    </w:p>
    <w:p>
      <w:pPr>
        <w:pStyle w:val="ListParagraph"/>
        <w:numPr>
          <w:ilvl w:val="0"/>
          <w:numId w:val="1"/>
        </w:numPr>
        <w:spacing w:after="60" w:before="60"/>
      </w:pPr>
      <w:r>
        <w:rPr>
          <w:rFonts w:ascii="Calibri" w:cs="Calibri" w:eastAsia="Calibri" w:hAnsi="Calibri"/>
          <w:color w:val="1F2937"/>
          <w:sz w:val="22"/>
          <w:szCs w:val="22"/>
        </w:rPr>
        <w:t xml:space="preserve">Des limitations significatives des fonctions intellectuelles : raisonnement, résolution de problèmes, planification, abstraction, jugement.</w:t>
      </w:r>
    </w:p>
    <w:p>
      <w:pPr>
        <w:pStyle w:val="ListParagraph"/>
        <w:numPr>
          <w:ilvl w:val="0"/>
          <w:numId w:val="1"/>
        </w:numPr>
        <w:spacing w:after="60" w:before="60"/>
      </w:pPr>
      <w:r>
        <w:rPr>
          <w:rFonts w:ascii="Calibri" w:cs="Calibri" w:eastAsia="Calibri" w:hAnsi="Calibri"/>
          <w:color w:val="1F2937"/>
          <w:sz w:val="22"/>
          <w:szCs w:val="22"/>
        </w:rPr>
        <w:t xml:space="preserve">Des déficits dans au moins un domaine des comportements adaptatifs : communication, participation sociale, activités de la vie quotidienne.</w:t>
      </w:r>
    </w:p>
    <w:p>
      <w:pPr>
        <w:pStyle w:val="ListParagraph"/>
        <w:numPr>
          <w:ilvl w:val="0"/>
          <w:numId w:val="1"/>
        </w:numPr>
        <w:spacing w:after="60" w:before="60"/>
      </w:pPr>
      <w:r>
        <w:rPr>
          <w:rFonts w:ascii="Calibri" w:cs="Calibri" w:eastAsia="Calibri" w:hAnsi="Calibri"/>
          <w:color w:val="1F2937"/>
          <w:sz w:val="22"/>
          <w:szCs w:val="22"/>
        </w:rPr>
        <w:t xml:space="preserve">Un démarrage pendant la période développementale.</w:t>
      </w:r>
    </w:p>
    <w:p>
      <w:pPr>
        <w:spacing w:after="80" w:before="80"/>
      </w:pPr>
      <w:r>
        <w:rPr>
          <w:rFonts w:ascii="Calibri" w:cs="Calibri" w:eastAsia="Calibri" w:hAnsi="Calibri"/>
          <w:color w:val="1F2937"/>
          <w:sz w:val="22"/>
          <w:szCs w:val="22"/>
        </w:rPr>
        <w:t xml:space="preserve">Le TDI est un spectre large, avec des niveaux de sévérité variables (léger, moyen, grave, profond), qui nécessite des approches individualisées.</w:t>
      </w:r>
    </w:p>
    <w:p>
      <w:pPr>
        <w:spacing w:after="120" w:before="280"/>
      </w:pPr>
      <w:r>
        <w:rPr>
          <w:rFonts w:ascii="Calibri" w:cs="Calibri" w:eastAsia="Calibri" w:hAnsi="Calibri"/>
          <w:b/>
          <w:bCs/>
          <w:color w:val="1B3A6B"/>
          <w:sz w:val="28"/>
          <w:szCs w:val="28"/>
        </w:rPr>
        <w:t xml:space="preserve">3. Objectifs de la RBPP</w:t>
      </w:r>
    </w:p>
    <w:p>
      <w:pPr>
        <w:pStyle w:val="ListParagraph"/>
        <w:numPr>
          <w:ilvl w:val="0"/>
          <w:numId w:val="1"/>
        </w:numPr>
        <w:spacing w:after="60" w:before="60"/>
      </w:pPr>
      <w:r>
        <w:rPr>
          <w:rFonts w:ascii="Calibri" w:cs="Calibri" w:eastAsia="Calibri" w:hAnsi="Calibri"/>
          <w:color w:val="1F2937"/>
          <w:sz w:val="22"/>
          <w:szCs w:val="22"/>
        </w:rPr>
        <w:t xml:space="preserve">Fournir aux professionnels des repères pour adapter l'accompagnement dans les domaines de la scolarité, du travail et des loisirs.</w:t>
      </w:r>
    </w:p>
    <w:p>
      <w:pPr>
        <w:pStyle w:val="ListParagraph"/>
        <w:numPr>
          <w:ilvl w:val="0"/>
          <w:numId w:val="1"/>
        </w:numPr>
        <w:spacing w:after="60" w:before="60"/>
      </w:pPr>
      <w:r>
        <w:rPr>
          <w:rFonts w:ascii="Calibri" w:cs="Calibri" w:eastAsia="Calibri" w:hAnsi="Calibri"/>
          <w:color w:val="1F2937"/>
          <w:sz w:val="22"/>
          <w:szCs w:val="22"/>
        </w:rPr>
        <w:t xml:space="preserve">Promouvoir l'autodétermination et la participation active des personnes avec TDI.</w:t>
      </w:r>
    </w:p>
    <w:p>
      <w:pPr>
        <w:pStyle w:val="ListParagraph"/>
        <w:numPr>
          <w:ilvl w:val="0"/>
          <w:numId w:val="1"/>
        </w:numPr>
        <w:spacing w:after="60" w:before="60"/>
      </w:pPr>
      <w:r>
        <w:rPr>
          <w:rFonts w:ascii="Calibri" w:cs="Calibri" w:eastAsia="Calibri" w:hAnsi="Calibri"/>
          <w:color w:val="1F2937"/>
          <w:sz w:val="22"/>
          <w:szCs w:val="22"/>
        </w:rPr>
        <w:t xml:space="preserve">Favoriser l'inclusion dans les environnements ordinaires.</w:t>
      </w:r>
    </w:p>
    <w:p>
      <w:pPr>
        <w:pStyle w:val="ListParagraph"/>
        <w:numPr>
          <w:ilvl w:val="0"/>
          <w:numId w:val="1"/>
        </w:numPr>
        <w:spacing w:after="60" w:before="60"/>
      </w:pPr>
      <w:r>
        <w:rPr>
          <w:rFonts w:ascii="Calibri" w:cs="Calibri" w:eastAsia="Calibri" w:hAnsi="Calibri"/>
          <w:color w:val="1F2937"/>
          <w:sz w:val="22"/>
          <w:szCs w:val="22"/>
        </w:rPr>
        <w:t xml:space="preserve">Outiller les équipes des ESSMS dans les transitions de vie (école → emploi → retraite).</w:t>
      </w:r>
    </w:p>
    <w:p>
      <w:pPr>
        <w:spacing w:after="120" w:before="280"/>
      </w:pPr>
      <w:r>
        <w:rPr>
          <w:rFonts w:ascii="Calibri" w:cs="Calibri" w:eastAsia="Calibri" w:hAnsi="Calibri"/>
          <w:b/>
          <w:bCs/>
          <w:color w:val="1B3A6B"/>
          <w:sz w:val="28"/>
          <w:szCs w:val="28"/>
        </w:rPr>
        <w:t xml:space="preserve">4. Recommandations principales par domaine</w:t>
      </w:r>
    </w:p>
    <w:p>
      <w:pPr>
        <w:spacing w:after="80" w:before="80"/>
      </w:pPr>
      <w:r>
        <w:rPr>
          <w:rFonts w:ascii="Calibri" w:cs="Calibri" w:eastAsia="Calibri" w:hAnsi="Calibri"/>
          <w:b/>
          <w:bCs/>
          <w:color w:val="1F2937"/>
          <w:sz w:val="22"/>
          <w:szCs w:val="22"/>
        </w:rPr>
        <w:t xml:space="preserve">4.1 Scolarité</w:t>
      </w:r>
    </w:p>
    <w:p>
      <w:pPr>
        <w:pStyle w:val="ListParagraph"/>
        <w:numPr>
          <w:ilvl w:val="0"/>
          <w:numId w:val="1"/>
        </w:numPr>
        <w:spacing w:after="60" w:before="60"/>
      </w:pPr>
      <w:r>
        <w:rPr>
          <w:rFonts w:ascii="Calibri" w:cs="Calibri" w:eastAsia="Calibri" w:hAnsi="Calibri"/>
          <w:color w:val="1F2937"/>
          <w:sz w:val="22"/>
          <w:szCs w:val="22"/>
        </w:rPr>
        <w:t xml:space="preserve">Soutenir la scolarisation en milieu ordinaire via l'accompagnement AESH et les dispositifs ULIS.</w:t>
      </w:r>
    </w:p>
    <w:p>
      <w:pPr>
        <w:pStyle w:val="ListParagraph"/>
        <w:numPr>
          <w:ilvl w:val="0"/>
          <w:numId w:val="1"/>
        </w:numPr>
        <w:spacing w:after="60" w:before="60"/>
      </w:pPr>
      <w:r>
        <w:rPr>
          <w:rFonts w:ascii="Calibri" w:cs="Calibri" w:eastAsia="Calibri" w:hAnsi="Calibri"/>
          <w:color w:val="1F2937"/>
          <w:sz w:val="22"/>
          <w:szCs w:val="22"/>
        </w:rPr>
        <w:t xml:space="preserve">Coordonner étroitement avec l'Education Nationale, les équipes pluridisciplinaires et les familles.</w:t>
      </w:r>
    </w:p>
    <w:p>
      <w:pPr>
        <w:pStyle w:val="ListParagraph"/>
        <w:numPr>
          <w:ilvl w:val="0"/>
          <w:numId w:val="1"/>
        </w:numPr>
        <w:spacing w:after="60" w:before="60"/>
      </w:pPr>
      <w:r>
        <w:rPr>
          <w:rFonts w:ascii="Calibri" w:cs="Calibri" w:eastAsia="Calibri" w:hAnsi="Calibri"/>
          <w:color w:val="1F2937"/>
          <w:sz w:val="22"/>
          <w:szCs w:val="22"/>
        </w:rPr>
        <w:t xml:space="preserve">Adapter les supports pédagogiques aux besoins cognitifs de l'élève (pictogrammes, FALC, supports visuels).</w:t>
      </w:r>
    </w:p>
    <w:p>
      <w:pPr>
        <w:pStyle w:val="ListParagraph"/>
        <w:numPr>
          <w:ilvl w:val="0"/>
          <w:numId w:val="1"/>
        </w:numPr>
        <w:spacing w:after="60" w:before="60"/>
      </w:pPr>
      <w:r>
        <w:rPr>
          <w:rFonts w:ascii="Calibri" w:cs="Calibri" w:eastAsia="Calibri" w:hAnsi="Calibri"/>
          <w:color w:val="1F2937"/>
          <w:sz w:val="22"/>
          <w:szCs w:val="22"/>
        </w:rPr>
        <w:t xml:space="preserve">Préparer les transitions : primaire → collège, collège → lycée/ULIS, école → formation/emploi.</w:t>
      </w:r>
    </w:p>
    <w:p>
      <w:pPr>
        <w:pStyle w:val="ListParagraph"/>
        <w:numPr>
          <w:ilvl w:val="0"/>
          <w:numId w:val="1"/>
        </w:numPr>
        <w:spacing w:after="60" w:before="60"/>
      </w:pPr>
      <w:r>
        <w:rPr>
          <w:rFonts w:ascii="Calibri" w:cs="Calibri" w:eastAsia="Calibri" w:hAnsi="Calibri"/>
          <w:color w:val="1F2937"/>
          <w:sz w:val="22"/>
          <w:szCs w:val="22"/>
        </w:rPr>
        <w:t xml:space="preserve">Intégrer la Communication Alternative et Améliorée (CAA) si nécessaire.</w:t>
      </w:r>
    </w:p>
    <w:p>
      <w:pPr>
        <w:pStyle w:val="ListParagraph"/>
        <w:numPr>
          <w:ilvl w:val="0"/>
          <w:numId w:val="1"/>
        </w:numPr>
        <w:spacing w:after="60" w:before="60"/>
      </w:pPr>
      <w:r>
        <w:rPr>
          <w:rFonts w:ascii="Calibri" w:cs="Calibri" w:eastAsia="Calibri" w:hAnsi="Calibri"/>
          <w:color w:val="1F2937"/>
          <w:sz w:val="22"/>
          <w:szCs w:val="22"/>
        </w:rPr>
        <w:t xml:space="preserve">Former les équipes scolaires aux spécificités du TDI.</w:t>
      </w:r>
    </w:p>
    <w:p>
      <w:pPr>
        <w:spacing w:after="80" w:before="80"/>
      </w:pPr>
      <w:r>
        <w:rPr>
          <w:rFonts w:ascii="Calibri" w:cs="Calibri" w:eastAsia="Calibri" w:hAnsi="Calibri"/>
          <w:b/>
          <w:bCs/>
          <w:color w:val="1F2937"/>
          <w:sz w:val="22"/>
          <w:szCs w:val="22"/>
        </w:rPr>
        <w:t xml:space="preserve">4.2 Travail et vie active</w:t>
      </w:r>
    </w:p>
    <w:p>
      <w:pPr>
        <w:pStyle w:val="ListParagraph"/>
        <w:numPr>
          <w:ilvl w:val="0"/>
          <w:numId w:val="1"/>
        </w:numPr>
        <w:spacing w:after="60" w:before="60"/>
      </w:pPr>
      <w:r>
        <w:rPr>
          <w:rFonts w:ascii="Calibri" w:cs="Calibri" w:eastAsia="Calibri" w:hAnsi="Calibri"/>
          <w:color w:val="1F2937"/>
          <w:sz w:val="22"/>
          <w:szCs w:val="22"/>
        </w:rPr>
        <w:t xml:space="preserve">Accompagner vers l'emploi en milieu ordinaire (ESAT, entreprises adaptées, emploi direct) selon le profil et le projet de vie.</w:t>
      </w:r>
    </w:p>
    <w:p>
      <w:pPr>
        <w:pStyle w:val="ListParagraph"/>
        <w:numPr>
          <w:ilvl w:val="0"/>
          <w:numId w:val="1"/>
        </w:numPr>
        <w:spacing w:after="60" w:before="60"/>
      </w:pPr>
      <w:r>
        <w:rPr>
          <w:rFonts w:ascii="Calibri" w:cs="Calibri" w:eastAsia="Calibri" w:hAnsi="Calibri"/>
          <w:color w:val="1F2937"/>
          <w:sz w:val="22"/>
          <w:szCs w:val="22"/>
        </w:rPr>
        <w:t xml:space="preserve">Utiliser les outils d'évaluation des compétences professionnelles adaptés au TDI.</w:t>
      </w:r>
    </w:p>
    <w:p>
      <w:pPr>
        <w:pStyle w:val="ListParagraph"/>
        <w:numPr>
          <w:ilvl w:val="0"/>
          <w:numId w:val="1"/>
        </w:numPr>
        <w:spacing w:after="60" w:before="60"/>
      </w:pPr>
      <w:r>
        <w:rPr>
          <w:rFonts w:ascii="Calibri" w:cs="Calibri" w:eastAsia="Calibri" w:hAnsi="Calibri"/>
          <w:color w:val="1F2937"/>
          <w:sz w:val="22"/>
          <w:szCs w:val="22"/>
        </w:rPr>
        <w:t xml:space="preserve">Favoriser les stages, les mises en situation professionnelle et les apprentissages pratiques.</w:t>
      </w:r>
    </w:p>
    <w:p>
      <w:pPr>
        <w:pStyle w:val="ListParagraph"/>
        <w:numPr>
          <w:ilvl w:val="0"/>
          <w:numId w:val="1"/>
        </w:numPr>
        <w:spacing w:after="60" w:before="60"/>
      </w:pPr>
      <w:r>
        <w:rPr>
          <w:rFonts w:ascii="Calibri" w:cs="Calibri" w:eastAsia="Calibri" w:hAnsi="Calibri"/>
          <w:color w:val="1F2937"/>
          <w:sz w:val="22"/>
          <w:szCs w:val="22"/>
        </w:rPr>
        <w:t xml:space="preserve">Soutenir l'autodétermination dans les choix professionnels : ne pas présumer des limites.</w:t>
      </w:r>
    </w:p>
    <w:p>
      <w:pPr>
        <w:pStyle w:val="ListParagraph"/>
        <w:numPr>
          <w:ilvl w:val="0"/>
          <w:numId w:val="1"/>
        </w:numPr>
        <w:spacing w:after="60" w:before="60"/>
      </w:pPr>
      <w:r>
        <w:rPr>
          <w:rFonts w:ascii="Calibri" w:cs="Calibri" w:eastAsia="Calibri" w:hAnsi="Calibri"/>
          <w:color w:val="1F2937"/>
          <w:sz w:val="22"/>
          <w:szCs w:val="22"/>
        </w:rPr>
        <w:t xml:space="preserve">Coordonner avec Cap Emploi, les MDPH, les employeurs et les services d'insertion.</w:t>
      </w:r>
    </w:p>
    <w:p>
      <w:pPr>
        <w:pStyle w:val="ListParagraph"/>
        <w:numPr>
          <w:ilvl w:val="0"/>
          <w:numId w:val="1"/>
        </w:numPr>
        <w:spacing w:after="60" w:before="60"/>
      </w:pPr>
      <w:r>
        <w:rPr>
          <w:rFonts w:ascii="Calibri" w:cs="Calibri" w:eastAsia="Calibri" w:hAnsi="Calibri"/>
          <w:color w:val="1F2937"/>
          <w:sz w:val="22"/>
          <w:szCs w:val="22"/>
        </w:rPr>
        <w:t xml:space="preserve">Prévoir des aménagements raisonnables du poste de travail.</w:t>
      </w:r>
    </w:p>
    <w:p>
      <w:pPr>
        <w:spacing w:after="80" w:before="80"/>
      </w:pPr>
      <w:r>
        <w:rPr>
          <w:rFonts w:ascii="Calibri" w:cs="Calibri" w:eastAsia="Calibri" w:hAnsi="Calibri"/>
          <w:b/>
          <w:bCs/>
          <w:color w:val="1F2937"/>
          <w:sz w:val="22"/>
          <w:szCs w:val="22"/>
        </w:rPr>
        <w:t xml:space="preserve">4.3 Loisirs et temps libre</w:t>
      </w:r>
    </w:p>
    <w:p>
      <w:pPr>
        <w:pStyle w:val="ListParagraph"/>
        <w:numPr>
          <w:ilvl w:val="0"/>
          <w:numId w:val="1"/>
        </w:numPr>
        <w:spacing w:after="60" w:before="60"/>
      </w:pPr>
      <w:r>
        <w:rPr>
          <w:rFonts w:ascii="Calibri" w:cs="Calibri" w:eastAsia="Calibri" w:hAnsi="Calibri"/>
          <w:color w:val="1F2937"/>
          <w:sz w:val="22"/>
          <w:szCs w:val="22"/>
        </w:rPr>
        <w:t xml:space="preserve">Garantir l'accès aux loisirs, activités culturelles, sportives et associatives ordinaires.</w:t>
      </w:r>
    </w:p>
    <w:p>
      <w:pPr>
        <w:pStyle w:val="ListParagraph"/>
        <w:numPr>
          <w:ilvl w:val="0"/>
          <w:numId w:val="1"/>
        </w:numPr>
        <w:spacing w:after="60" w:before="60"/>
      </w:pPr>
      <w:r>
        <w:rPr>
          <w:rFonts w:ascii="Calibri" w:cs="Calibri" w:eastAsia="Calibri" w:hAnsi="Calibri"/>
          <w:color w:val="1F2937"/>
          <w:sz w:val="22"/>
          <w:szCs w:val="22"/>
        </w:rPr>
        <w:t xml:space="preserve">Ne pas limiter les loisirs à des activités intra-établissement ou spécialisées.</w:t>
      </w:r>
    </w:p>
    <w:p>
      <w:pPr>
        <w:pStyle w:val="ListParagraph"/>
        <w:numPr>
          <w:ilvl w:val="0"/>
          <w:numId w:val="1"/>
        </w:numPr>
        <w:spacing w:after="60" w:before="60"/>
      </w:pPr>
      <w:r>
        <w:rPr>
          <w:rFonts w:ascii="Calibri" w:cs="Calibri" w:eastAsia="Calibri" w:hAnsi="Calibri"/>
          <w:color w:val="1F2937"/>
          <w:sz w:val="22"/>
          <w:szCs w:val="22"/>
        </w:rPr>
        <w:t xml:space="preserve">Encourager les sorties, les séjours de vacances et la vie associative.</w:t>
      </w:r>
    </w:p>
    <w:p>
      <w:pPr>
        <w:pStyle w:val="ListParagraph"/>
        <w:numPr>
          <w:ilvl w:val="0"/>
          <w:numId w:val="1"/>
        </w:numPr>
        <w:spacing w:after="60" w:before="60"/>
      </w:pPr>
      <w:r>
        <w:rPr>
          <w:rFonts w:ascii="Calibri" w:cs="Calibri" w:eastAsia="Calibri" w:hAnsi="Calibri"/>
          <w:color w:val="1F2937"/>
          <w:sz w:val="22"/>
          <w:szCs w:val="22"/>
        </w:rPr>
        <w:t xml:space="preserve">Respecter les préférences individuelles et les intérêts propres de chaque personne.</w:t>
      </w:r>
    </w:p>
    <w:p>
      <w:pPr>
        <w:pStyle w:val="ListParagraph"/>
        <w:numPr>
          <w:ilvl w:val="0"/>
          <w:numId w:val="1"/>
        </w:numPr>
        <w:spacing w:after="60" w:before="60"/>
      </w:pPr>
      <w:r>
        <w:rPr>
          <w:rFonts w:ascii="Calibri" w:cs="Calibri" w:eastAsia="Calibri" w:hAnsi="Calibri"/>
          <w:color w:val="1F2937"/>
          <w:sz w:val="22"/>
          <w:szCs w:val="22"/>
        </w:rPr>
        <w:t xml:space="preserve">Soutenir la vie sociale et affective : amitié, relation amoureuse, vie de quartier.</w:t>
      </w:r>
    </w:p>
    <w:p>
      <w:pPr>
        <w:pStyle w:val="ListParagraph"/>
        <w:numPr>
          <w:ilvl w:val="0"/>
          <w:numId w:val="1"/>
        </w:numPr>
        <w:spacing w:after="60" w:before="60"/>
      </w:pPr>
      <w:r>
        <w:rPr>
          <w:rFonts w:ascii="Calibri" w:cs="Calibri" w:eastAsia="Calibri" w:hAnsi="Calibri"/>
          <w:color w:val="1F2937"/>
          <w:sz w:val="22"/>
          <w:szCs w:val="22"/>
        </w:rPr>
        <w:t xml:space="preserve">Intégrer la vie relationnelle, affective et sexuelle (EVRAS) dans le projet personnalisé.</w:t>
      </w:r>
    </w:p>
    <w:p>
      <w:pPr>
        <w:spacing w:after="120" w:before="280"/>
      </w:pPr>
      <w:r>
        <w:rPr>
          <w:rFonts w:ascii="Calibri" w:cs="Calibri" w:eastAsia="Calibri" w:hAnsi="Calibri"/>
          <w:b/>
          <w:bCs/>
          <w:color w:val="1B3A6B"/>
          <w:sz w:val="28"/>
          <w:szCs w:val="28"/>
        </w:rPr>
        <w:t xml:space="preserve">5. Principes transversaux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Principe</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Application pratique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Autodétermination</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Recueillir les choix, préférences et aspirations de la personne. Ne pas décider à sa place.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Participation active</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Associer la personne à l'élaboration de son projet personnalisé dans tous ses aspects.</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Inclusion</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Privilégier les environnements ordinaires : école, entreprise, associations grand public.</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Individualisation</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Adapter chaque accompagnement au profil singulier, pas d'approche standardisée.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Partenariat famille</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Associer les proches et représentants légaux à chaque étape.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Continuité des parcours</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Préparer les transitions entre phases de vie avec anticipation.</w:t>
            </w:r>
          </w:p>
        </w:tc>
      </w:tr>
    </w:tbl>
    <w:p>
      <w:pPr>
        <w:spacing w:after="120" w:before="280"/>
      </w:pPr>
      <w:r>
        <w:rPr>
          <w:rFonts w:ascii="Calibri" w:cs="Calibri" w:eastAsia="Calibri" w:hAnsi="Calibri"/>
          <w:b/>
          <w:bCs/>
          <w:color w:val="1B3A6B"/>
          <w:sz w:val="28"/>
          <w:szCs w:val="28"/>
        </w:rPr>
        <w:t xml:space="preserve">⚠️ Points de vigilance pour les 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Point de vigilance</w:t>
            </w:r>
          </w:p>
        </w:tc>
        <w:tc>
          <w:tcPr>
            <w:shd w:fill="1B3A6B"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Détail pratique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Risque d'infantilisation</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Éviter de traiter les adultes avec TDI comme des enfants. Respecter le statut d'adulte.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Accès au travail</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Ne pas orienter systématiquement vers l'ESAT. Explorer toutes les options d'emploi selon le projet de vie.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Vie affective et sexuelle</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Intégrer l'EVRAS au projet personnalisé. Former les équipes à cet accompagnement spécifique.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Loisirs diversifiés</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Aller au-delà des activités intra-muros. Ouvrir sur la cité, les associations, la culture.</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Transitions de vie</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Préparer en amont le passage de la scolarité au travail, et du travail à la retraite.</w:t>
            </w:r>
          </w:p>
        </w:tc>
      </w:tr>
      <w:tr>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Formation des équipes</w:t>
            </w:r>
          </w:p>
        </w:tc>
        <w:tc>
          <w:tcPr>
            <w:shd w:fill="EEF2F7" w:val="clear"/>
            <w:tcMar>
              <w:top w:type="dxa" w:w="60"/>
              <w:left w:type="dxa" w:w="80"/>
              <w:bottom w:type="dxa" w:w="60"/>
              <w:right w:type="dxa" w:w="80"/>
            </w:tcMar>
          </w:tcPr>
          <w:p>
            <w:r>
              <w:rPr>
                <w:rFonts w:ascii="Calibri" w:cs="Calibri" w:eastAsia="Calibri" w:hAnsi="Calibri"/>
                <w:color w:val="1F2937"/>
                <w:sz w:val="20"/>
                <w:szCs w:val="20"/>
              </w:rPr>
              <w:t xml:space="preserve">Former régulièrement les professionnels aux outils CAA, FALC et aux principes de l'autodétermination.</w:t>
            </w:r>
          </w:p>
        </w:tc>
      </w:tr>
      <w:tr>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Coordination inter-acteurs</w:t>
            </w:r>
          </w:p>
        </w:tc>
        <w:tc>
          <w:tcPr>
            <w:shd w:fill="FFFFFF" w:val="clear"/>
            <w:tcMar>
              <w:top w:type="dxa" w:w="60"/>
              <w:left w:type="dxa" w:w="80"/>
              <w:bottom w:type="dxa" w:w="60"/>
              <w:right w:type="dxa" w:w="80"/>
            </w:tcMar>
          </w:tcPr>
          <w:p>
            <w:r>
              <w:rPr>
                <w:rFonts w:ascii="Calibri" w:cs="Calibri" w:eastAsia="Calibri" w:hAnsi="Calibri"/>
                <w:color w:val="1F2937"/>
                <w:sz w:val="20"/>
                <w:szCs w:val="20"/>
              </w:rPr>
              <w:t xml:space="preserve">Mobiliser MDPH, Cap Emploi, Education Nationale, associations, collectivités dans le parcours.</w:t>
            </w:r>
          </w:p>
        </w:tc>
      </w:tr>
    </w:tbl>
    <w:p>
      <w:pPr>
        <w:spacing w:after="120" w:before="280"/>
      </w:pPr>
      <w:r>
        <w:rPr>
          <w:rFonts w:ascii="Calibri" w:cs="Calibri" w:eastAsia="Calibri" w:hAnsi="Calibri"/>
          <w:b/>
          <w:bCs/>
          <w:color w:val="1B3A6B"/>
          <w:sz w:val="28"/>
          <w:szCs w:val="28"/>
        </w:rPr>
        <w:t xml:space="preserve">6. Complémentarité avec le Volet 1 (mis à jour novembre 2025)</w:t>
      </w:r>
    </w:p>
    <w:p>
      <w:pPr>
        <w:spacing w:after="80" w:before="80"/>
      </w:pPr>
      <w:r>
        <w:rPr>
          <w:rFonts w:ascii="Calibri" w:cs="Calibri" w:eastAsia="Calibri" w:hAnsi="Calibri"/>
          <w:color w:val="1F2937"/>
          <w:sz w:val="22"/>
          <w:szCs w:val="22"/>
        </w:rPr>
        <w:t xml:space="preserve">Le Volet 1 couvre les fondamentaux de l'accompagnement TDI :</w:t>
      </w:r>
    </w:p>
    <w:p>
      <w:pPr>
        <w:pStyle w:val="ListParagraph"/>
        <w:numPr>
          <w:ilvl w:val="0"/>
          <w:numId w:val="1"/>
        </w:numPr>
        <w:spacing w:after="60" w:before="60"/>
      </w:pPr>
      <w:r>
        <w:rPr>
          <w:rFonts w:ascii="Calibri" w:cs="Calibri" w:eastAsia="Calibri" w:hAnsi="Calibri"/>
          <w:color w:val="1F2937"/>
          <w:sz w:val="22"/>
          <w:szCs w:val="22"/>
        </w:rPr>
        <w:t xml:space="preserve">Autodétermination, participation, citoyenneté.</w:t>
      </w:r>
    </w:p>
    <w:p>
      <w:pPr>
        <w:pStyle w:val="ListParagraph"/>
        <w:numPr>
          <w:ilvl w:val="0"/>
          <w:numId w:val="1"/>
        </w:numPr>
        <w:spacing w:after="60" w:before="60"/>
      </w:pPr>
      <w:r>
        <w:rPr>
          <w:rFonts w:ascii="Calibri" w:cs="Calibri" w:eastAsia="Calibri" w:hAnsi="Calibri"/>
          <w:color w:val="1F2937"/>
          <w:sz w:val="22"/>
          <w:szCs w:val="22"/>
        </w:rPr>
        <w:t xml:space="preserve">Communication et habiletés sociales.</w:t>
      </w:r>
    </w:p>
    <w:p>
      <w:pPr>
        <w:pStyle w:val="ListParagraph"/>
        <w:numPr>
          <w:ilvl w:val="0"/>
          <w:numId w:val="1"/>
        </w:numPr>
        <w:spacing w:after="60" w:before="60"/>
      </w:pPr>
      <w:r>
        <w:rPr>
          <w:rFonts w:ascii="Calibri" w:cs="Calibri" w:eastAsia="Calibri" w:hAnsi="Calibri"/>
          <w:color w:val="1F2937"/>
          <w:sz w:val="22"/>
          <w:szCs w:val="22"/>
        </w:rPr>
        <w:t xml:space="preserve">Cognition et apprentissages.</w:t>
      </w:r>
    </w:p>
    <w:p>
      <w:pPr>
        <w:pStyle w:val="ListParagraph"/>
        <w:numPr>
          <w:ilvl w:val="0"/>
          <w:numId w:val="1"/>
        </w:numPr>
        <w:spacing w:after="60" w:before="60"/>
      </w:pPr>
      <w:r>
        <w:rPr>
          <w:rFonts w:ascii="Calibri" w:cs="Calibri" w:eastAsia="Calibri" w:hAnsi="Calibri"/>
          <w:color w:val="1F2937"/>
          <w:sz w:val="22"/>
          <w:szCs w:val="22"/>
        </w:rPr>
        <w:t xml:space="preserve">Littératie et numératie.</w:t>
      </w:r>
    </w:p>
    <w:p>
      <w:pPr>
        <w:pStyle w:val="ListParagraph"/>
        <w:numPr>
          <w:ilvl w:val="0"/>
          <w:numId w:val="1"/>
        </w:numPr>
        <w:spacing w:after="60" w:before="60"/>
      </w:pPr>
      <w:r>
        <w:rPr>
          <w:rFonts w:ascii="Calibri" w:cs="Calibri" w:eastAsia="Calibri" w:hAnsi="Calibri"/>
          <w:color w:val="1F2937"/>
          <w:sz w:val="22"/>
          <w:szCs w:val="22"/>
        </w:rPr>
        <w:t xml:space="preserve">Sensorialité et motricité.</w:t>
      </w:r>
    </w:p>
    <w:p>
      <w:pPr>
        <w:pStyle w:val="ListParagraph"/>
        <w:numPr>
          <w:ilvl w:val="0"/>
          <w:numId w:val="1"/>
        </w:numPr>
        <w:spacing w:after="60" w:before="60"/>
      </w:pPr>
      <w:r>
        <w:rPr>
          <w:rFonts w:ascii="Calibri" w:cs="Calibri" w:eastAsia="Calibri" w:hAnsi="Calibri"/>
          <w:color w:val="1F2937"/>
          <w:sz w:val="22"/>
          <w:szCs w:val="22"/>
        </w:rPr>
        <w:t xml:space="preserve">Accompagnement des professionnels et des familles.</w:t>
      </w:r>
    </w:p>
    <w:p>
      <w:pPr>
        <w:spacing w:after="80" w:before="80"/>
      </w:pPr>
      <w:r>
        <w:rPr>
          <w:rFonts w:ascii="Calibri" w:cs="Calibri" w:eastAsia="Calibri" w:hAnsi="Calibri"/>
          <w:color w:val="1F2937"/>
          <w:sz w:val="22"/>
          <w:szCs w:val="22"/>
        </w:rPr>
        <w:t xml:space="preserve">Les deux volets forment un ensemble cohérent à intégrer dans la démarche qualité des ESSMS.</w:t>
      </w:r>
    </w:p>
    <w:p>
      <w:pPr>
        <w:spacing w:after="120" w:before="280"/>
      </w:pPr>
      <w:r>
        <w:rPr>
          <w:rFonts w:ascii="Calibri" w:cs="Calibri" w:eastAsia="Calibri" w:hAnsi="Calibri"/>
          <w:b/>
          <w:bCs/>
          <w:color w:val="1B3A6B"/>
          <w:sz w:val="28"/>
          <w:szCs w:val="28"/>
        </w:rPr>
        <w:t xml:space="preserve">7. Documents associés disponibles sur has-sante.fr</w:t>
      </w:r>
    </w:p>
    <w:p>
      <w:pPr>
        <w:pStyle w:val="ListParagraph"/>
        <w:numPr>
          <w:ilvl w:val="0"/>
          <w:numId w:val="1"/>
        </w:numPr>
        <w:spacing w:after="60" w:before="60"/>
      </w:pPr>
      <w:r>
        <w:rPr>
          <w:rFonts w:ascii="Calibri" w:cs="Calibri" w:eastAsia="Calibri" w:hAnsi="Calibri"/>
          <w:color w:val="1F2937"/>
          <w:sz w:val="22"/>
          <w:szCs w:val="22"/>
        </w:rPr>
        <w:t xml:space="preserve">3 livrets thématiques professionnels : Scolarité / Travail et vie active / Loisirs et temps libre.</w:t>
      </w:r>
    </w:p>
    <w:p>
      <w:pPr>
        <w:pStyle w:val="ListParagraph"/>
        <w:numPr>
          <w:ilvl w:val="0"/>
          <w:numId w:val="1"/>
        </w:numPr>
        <w:spacing w:after="60" w:before="60"/>
      </w:pPr>
      <w:r>
        <w:rPr>
          <w:rFonts w:ascii="Calibri" w:cs="Calibri" w:eastAsia="Calibri" w:hAnsi="Calibri"/>
          <w:color w:val="1F2937"/>
          <w:sz w:val="22"/>
          <w:szCs w:val="22"/>
        </w:rPr>
        <w:t xml:space="preserve">12 fiches FALC (Facile À Lire et Comprendre) pour les personnes accompagnées.</w:t>
      </w:r>
    </w:p>
    <w:p>
      <w:pPr>
        <w:pStyle w:val="ListParagraph"/>
        <w:numPr>
          <w:ilvl w:val="0"/>
          <w:numId w:val="1"/>
        </w:numPr>
        <w:spacing w:after="60" w:before="60"/>
      </w:pPr>
      <w:r>
        <w:rPr>
          <w:rFonts w:ascii="Calibri" w:cs="Calibri" w:eastAsia="Calibri" w:hAnsi="Calibri"/>
          <w:color w:val="1F2937"/>
          <w:sz w:val="22"/>
          <w:szCs w:val="22"/>
        </w:rPr>
        <w:t xml:space="preserve">Argumentaire scientifique et rapport de cotation.</w:t>
      </w:r>
    </w:p>
    <w:p>
      <w:pPr>
        <w:pStyle w:val="ListParagraph"/>
        <w:numPr>
          <w:ilvl w:val="0"/>
          <w:numId w:val="1"/>
        </w:numPr>
        <w:spacing w:after="60" w:before="60"/>
      </w:pPr>
      <w:r>
        <w:rPr>
          <w:rFonts w:ascii="Calibri" w:cs="Calibri" w:eastAsia="Calibri" w:hAnsi="Calibri"/>
          <w:color w:val="1F2937"/>
          <w:sz w:val="22"/>
          <w:szCs w:val="22"/>
        </w:rPr>
        <w:t xml:space="preserve">Guide pratique de l'accompagnant.</w:t>
      </w:r>
    </w:p>
    <w:p>
      <w:pPr>
        <w:spacing w:before="400"/>
      </w:pPr>
    </w:p>
    <w:p>
      <w:pPr>
        <w:jc w:val="center"/>
      </w:pPr>
      <w:r>
        <w:rPr>
          <w:rFonts w:ascii="Calibri" w:cs="Calibri" w:eastAsia="Calibri" w:hAnsi="Calibri"/>
          <w:i/>
          <w:iCs/>
          <w:color w:val="9CA3AF"/>
          <w:sz w:val="18"/>
          <w:szCs w:val="18"/>
        </w:rPr>
        <w:t xml:space="preserve">Produit le 2026-04-17 par pipeline RBPP-HAS | Source : HAS — RBPP TDI Volet 2, publiée le 18/11/2025</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17/04/2026, relue le 12/09/2026 au cours d'un contrôle d'attribution des 221 documents du dépôt (règle ⑭ : une page nommée comme source doit être liée). Contenu inchangé.</w:t>
      </w:r>
    </w:p>
    <w:p>
      <w:pPr>
        <w:spacing w:after="80"/>
      </w:pPr>
      <w:r>
        <w:rPr>
          <w:rFonts w:ascii="Calibri" w:cs="Calibri" w:eastAsia="Calibri" w:hAnsi="Calibri"/>
          <w:color w:val="1F2937"/>
          <w:sz w:val="22"/>
          <w:szCs w:val="22"/>
        </w:rPr>
        <w:t xml:space="preserve">Pages nommées sans lien cliquable, liées le 12/09/2026 : has-sante.fr/jcms/p_3741239 → www.has-sante.fr/jcms/p_3741239 (1) ; has-sante.fr/jcms/p_3237847 → www.has-sante.fr/jcms/p_3237847 (1).</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p37412392026" Type="http://schemas.openxmlformats.org/officeDocument/2006/relationships/hyperlink" Target="https://www.has-sante.fr/jcms/p_3741239" TargetMode="External"/><Relationship Id="rIdp32378472026" Type="http://schemas.openxmlformats.org/officeDocument/2006/relationships/hyperlink" Target="https://www.has-sante.fr/jcms/p_3237847"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2026-04-17T05:52:38.157Z</dcterms:created>
  <dcterms:modified xsi:type="dcterms:W3CDTF">2026-04-17T05:52:38.157Z</dcterms:modified>
</cp:coreProperties>
</file>

<file path=docProps/custom.xml><?xml version="1.0" encoding="utf-8"?>
<Properties xmlns="http://schemas.openxmlformats.org/officeDocument/2006/custom-properties" xmlns:vt="http://schemas.openxmlformats.org/officeDocument/2006/docPropsVTypes"/>
</file>