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Veille SERAFIN-PH — Synthèse hebdomadaire</w:t>
      </w:r>
    </w:p>
    <w:p>
      <w:pPr>
        <w:spacing w:after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Date de production : 2026-06-24</w:t>
      </w:r>
    </w:p>
    <w:p>
      <w:pPr>
        <w:spacing w:after="80"/>
      </w:pP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B3A6B"/>
          <w:sz w:val="24"/>
          <w:szCs w:val="24"/>
        </w:rPr>
        <w:t xml:space="preserve">Tableau des sources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shd w:color="1B3A6B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shd w:color="1B3A6B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shd w:color="1B3A6B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Statut</w:t>
            </w:r>
          </w:p>
        </w:tc>
        <w:tc>
          <w:tcPr>
            <w:shd w:color="1B3A6B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Dernière info</w:t>
            </w:r>
          </w:p>
        </w:tc>
      </w:tr>
      <w:tr>
        <w:tc>
          <w:p>
            <w:hyperlink w:history="1" r:id="rIdcomite2026">
              <w:r>
                <w:rPr>
                  <w:rFonts w:ascii="Calibri" w:cs="Calibri" w:eastAsia="Calibri" w:hAnsi="Calibri"/>
                  <w:sz w:val="20"/>
                  <w:szCs w:val="20"/>
                  <w:color w:val="1155CC"/>
                  <w:u w:val="single"/>
                </w:rPr>
                <w:t xml:space="preserve">handicap.gouv.fr</w:t>
              </w:r>
            </w:hyperlink>
          </w:p>
        </w:tc>
        <w:tc>
          <w:p>
            <w:hyperlink w:history="1" r:id="rIdcomite2026">
              <w:r>
                <w:rPr>
                  <w:rFonts w:ascii="Calibri" w:cs="Calibri" w:eastAsia="Calibri" w:hAnsi="Calibri"/>
                  <w:sz w:val="20"/>
                  <w:szCs w:val="20"/>
                  <w:color w:val="1155CC"/>
                  <w:u w:val="single"/>
                </w:rPr>
                <w:t xml:space="preserve">handicap.gouv.fr/…serafin-ph</w:t>
              </w:r>
            </w:hyperlink>
          </w:p>
        </w:tc>
        <w:tc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✅ OK</w:t>
            </w:r>
          </w:p>
        </w:tc>
        <w:tc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Comité stratég. 02/07/2025</w:t>
            </w:r>
          </w:p>
        </w:tc>
      </w:tr>
      <w:tr>
        <w:tc>
          <w:tcPr>
            <w:shd w:color="EEF2F7" w:val="solid"/>
          </w:tcPr>
          <w:p>
            <w:hyperlink w:history="1" r:id="rIdcnsa_actu2026">
              <w:r>
                <w:rPr>
                  <w:rFonts w:ascii="Calibri" w:cs="Calibri" w:eastAsia="Calibri" w:hAnsi="Calibri"/>
                  <w:sz w:val="20"/>
                  <w:szCs w:val="20"/>
                  <w:color w:val="1155CC"/>
                  <w:u w:val="single"/>
                </w:rPr>
                <w:t xml:space="preserve">cnsa.fr</w:t>
              </w:r>
            </w:hyperlink>
          </w:p>
        </w:tc>
        <w:tc>
          <w:tcPr>
            <w:shd w:color="EEF2F7" w:val="solid"/>
          </w:tcPr>
          <w:p>
            <w:hyperlink w:history="1" r:id="rIdcnsa_actu2026">
              <w:r>
                <w:rPr>
                  <w:rFonts w:ascii="Calibri" w:cs="Calibri" w:eastAsia="Calibri" w:hAnsi="Calibri"/>
                  <w:sz w:val="20"/>
                  <w:szCs w:val="20"/>
                  <w:color w:val="1155CC"/>
                  <w:u w:val="single"/>
                </w:rPr>
                <w:t xml:space="preserve">cnsa.fr/…PH-2026</w:t>
              </w:r>
            </w:hyperlink>
          </w:p>
        </w:tc>
        <w:tc>
          <w:tcPr>
            <w:shd w:color="EEF2F7" w:val="solid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✅ OK</w:t>
            </w:r>
          </w:p>
        </w:tc>
        <w:tc>
          <w:tcPr>
            <w:shd w:color="EEF2F7" w:val="solid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17/12/2025 — recueil PH 2026</w:t>
            </w:r>
          </w:p>
        </w:tc>
      </w:tr>
      <w:tr>
        <w:tc>
          <w:p>
            <w:hyperlink w:history="1" r:id="rIdatih252026">
              <w:r>
                <w:rPr>
                  <w:rFonts w:ascii="Calibri" w:cs="Calibri" w:eastAsia="Calibri" w:hAnsi="Calibri"/>
                  <w:sz w:val="20"/>
                  <w:szCs w:val="20"/>
                  <w:color w:val="1155CC"/>
                  <w:u w:val="single"/>
                </w:rPr>
                <w:t xml:space="preserve">atih.sante.fr</w:t>
              </w:r>
            </w:hyperlink>
          </w:p>
        </w:tc>
        <w:tc>
          <w:p>
            <w:hyperlink w:history="1" r:id="rIdatih252026">
              <w:r>
                <w:rPr>
                  <w:rFonts w:ascii="Calibri" w:cs="Calibri" w:eastAsia="Calibri" w:hAnsi="Calibri"/>
                  <w:sz w:val="20"/>
                  <w:szCs w:val="20"/>
                  <w:color w:val="1155CC"/>
                  <w:u w:val="single"/>
                </w:rPr>
                <w:t xml:space="preserve">atih.sante.fr/recueil-national-ph-2025</w:t>
              </w:r>
            </w:hyperlink>
          </w:p>
        </w:tc>
        <w:tc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⛔ 403</w:t>
            </w:r>
          </w:p>
        </w:tc>
        <w:tc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Extraits WebSearch</w:t>
            </w:r>
          </w:p>
        </w:tc>
      </w:tr>
    </w:tbl>
    <w:p>
      <w:pPr>
        <w:spacing w:after="80"/>
      </w:pP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B3A6B"/>
          <w:sz w:val="24"/>
          <w:szCs w:val="24"/>
        </w:rPr>
        <w:t xml:space="preserve">🔵 En bref — Tableau de bord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c>
          <w:tcPr>
            <w:shd w:color="1B3A6B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Thème</w:t>
            </w:r>
          </w:p>
        </w:tc>
        <w:tc>
          <w:tcPr>
            <w:shd w:color="1B3A6B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Statut</w:t>
            </w:r>
          </w:p>
        </w:tc>
        <w:tc>
          <w:tcPr>
            <w:shd w:color="1B3A6B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Échéance</w:t>
            </w:r>
          </w:p>
        </w:tc>
      </w:tr>
      <w:tr>
        <w:tc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Modèle tarifaire</w:t>
            </w:r>
          </w:p>
        </w:tc>
        <w:tc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🟡 En finalisation</w:t>
            </w:r>
          </w:p>
        </w:tc>
        <w:tc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Fin 2026</w:t>
            </w:r>
          </w:p>
        </w:tc>
      </w:tr>
      <w:tr>
        <w:tc>
          <w:tcPr>
            <w:shd w:color="EEF2F7" w:val="solid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Recueil PH 2026 (enfance)</w:t>
            </w:r>
          </w:p>
        </w:tc>
        <w:tc>
          <w:tcPr>
            <w:shd w:color="EEF2F7" w:val="solid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🟡 Printemps 2026 — phases 1+2</w:t>
            </w:r>
          </w:p>
        </w:tc>
        <w:tc>
          <w:tcPr>
            <w:shd w:color="EEF2F7" w:val="solid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Mars–Mai 2026</w:t>
            </w:r>
          </w:p>
        </w:tc>
      </w:tr>
      <w:tr>
        <w:tc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Simulations impact individuel</w:t>
            </w:r>
          </w:p>
        </w:tc>
        <w:tc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🟡 En préparation</w:t>
            </w:r>
          </w:p>
        </w:tc>
        <w:tc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2026–2027</w:t>
            </w:r>
          </w:p>
        </w:tc>
      </w:tr>
      <w:tr>
        <w:tc>
          <w:tcPr>
            <w:shd w:color="EEF2F7" w:val="solid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Déploiement tarification</w:t>
            </w:r>
          </w:p>
        </w:tc>
        <w:tc>
          <w:tcPr>
            <w:shd w:color="EEF2F7" w:val="solid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🔵 Prévu 2027</w:t>
            </w:r>
          </w:p>
        </w:tc>
        <w:tc>
          <w:tcPr>
            <w:shd w:color="EEF2F7" w:val="solid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2027</w:t>
            </w:r>
          </w:p>
        </w:tc>
      </w:tr>
      <w:tr>
        <w:tc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Plateforme SIDOBA</w:t>
            </w:r>
          </w:p>
        </w:tc>
        <w:tc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🟡 En développement</w:t>
            </w:r>
          </w:p>
        </w:tc>
        <w:tc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2026</w:t>
            </w:r>
          </w:p>
        </w:tc>
      </w:tr>
      <w:tr>
        <w:tc>
          <w:tcPr>
            <w:shd w:color="EEF2F7" w:val="solid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Qualité données transport</w:t>
            </w:r>
          </w:p>
        </w:tc>
        <w:tc>
          <w:tcPr>
            <w:shd w:color="EEF2F7" w:val="solid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🔴 Point d'attention</w:t>
            </w:r>
          </w:p>
        </w:tc>
        <w:tc>
          <w:tcPr>
            <w:shd w:color="EEF2F7" w:val="solid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Fin 2025 (en cours)</w:t>
            </w:r>
          </w:p>
        </w:tc>
      </w:tr>
    </w:tbl>
    <w:p>
      <w:pPr>
        <w:spacing w:after="80"/>
      </w:pP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B3A6B"/>
          <w:sz w:val="24"/>
          <w:szCs w:val="24"/>
        </w:rPr>
        <w:t xml:space="preserve">📌 Source 1 — </w:t>
      </w:r>
      <w:hyperlink w:history="1" r:id="rIdcomite2026">
        <w:r>
          <w:rPr>
            <w:rFonts w:ascii="Calibri" w:cs="Calibri" w:eastAsia="Calibri" w:hAnsi="Calibri"/>
            <w:b/>
            <w:bCs/>
            <w:sz w:val="24"/>
            <w:szCs w:val="24"/>
            <w:color w:val="1155CC"/>
            <w:u w:val="single"/>
          </w:rPr>
          <w:t xml:space="preserve">handicap.gouv.fr</w:t>
        </w:r>
      </w:hyperlink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Comité stratégique SERAFIN-PH — 2 juillet 2025</w:t>
      </w:r>
    </w:p>
    <w:p>
      <w:pPr>
        <w:spacing w:after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Publié le 3 juillet 2025. La ministre Charlotte Parmentier-Lecocq a réuni le comité stratégique de la réforme tarifaire.</w:t>
      </w:r>
    </w:p>
    <w:p>
      <w:pPr>
        <w:spacing w:after="80"/>
      </w:pPr>
    </w:p>
    <w:p>
      <w:pPr>
        <w:spacing w:after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Résultats du recueil 2025 :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86 % des établissements ont répondu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90 % des solutions installées pour les enfants handicapés représentées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Anomalies identifiées sur les données transport → travaux ciblés d'ici fin 2025</w:t>
      </w:r>
    </w:p>
    <w:p>
      <w:pPr>
        <w:spacing w:after="80"/>
      </w:pPr>
    </w:p>
    <w:p>
      <w:pPr>
        <w:spacing w:after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Avancées sur le modèle de financement :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Calcul des composantes combinant : sécurité (dotations socles) + incitation à l'innovation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Équilibre recherché entre sécurisation des opérateurs et dynamisme du secteur</w:t>
      </w:r>
    </w:p>
    <w:p>
      <w:pPr>
        <w:spacing w:after="80"/>
      </w:pPr>
    </w:p>
    <w:p>
      <w:pPr>
        <w:spacing w:after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Prochaines étapes annoncées (2026–2027) :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Finalisation du modèle de transition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Recueil ciblé 2026 (données complémentaires)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Partage des projections d'impact financier à l'échelle individuelle de chaque structure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Accompagnement des opérateurs pour éviter les baisses de financement</w:t>
      </w:r>
    </w:p>
    <w:p>
      <w:pPr>
        <w:spacing w:after="80"/>
      </w:pP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B3A6B"/>
          <w:sz w:val="24"/>
          <w:szCs w:val="24"/>
        </w:rPr>
        <w:t xml:space="preserve">📌 Source 2 — </w:t>
      </w:r>
      <w:hyperlink w:history="1" r:id="rIdcnsa_actu2026">
        <w:r>
          <w:rPr>
            <w:rFonts w:ascii="Calibri" w:cs="Calibri" w:eastAsia="Calibri" w:hAnsi="Calibri"/>
            <w:b/>
            <w:bCs/>
            <w:sz w:val="24"/>
            <w:szCs w:val="24"/>
            <w:color w:val="1155CC"/>
            <w:u w:val="single"/>
          </w:rPr>
          <w:t xml:space="preserve">cnsa.fr</w:t>
        </w:r>
      </w:hyperlink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Recueil PH 2026 — Préparation (17 décembre 2025)</w:t>
      </w:r>
    </w:p>
    <w:p>
      <w:pPr>
        <w:spacing w:after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La CNSA et la DGCS préparent un recueil de données ciblé auprès des ESMS accompagnant des enfants handicapés, en vue du déploiement du nouveau modèle tarifaire en 2027.</w:t>
      </w:r>
    </w:p>
    <w:p>
      <w:pPr>
        <w:spacing w:after="80"/>
      </w:pPr>
    </w:p>
    <w:p>
      <w:pPr>
        <w:spacing w:after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Points clés :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Année blanche 2026 : aucun impact financier sur les structures pendant la collecte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Recueil allégé : ~40 variables strictement nécessaires (vs recueils précédents plus lourds)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Données exclues : détails individuels des accompagnements + modalités transport quotidien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Plateforme dédiée en développement dans le système SIDOBA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Chaque structure recevra une simulation personnalisée d'impact financier</w:t>
      </w:r>
    </w:p>
    <w:p>
      <w:pPr>
        <w:spacing w:after="80"/>
      </w:pP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B3A6B"/>
          <w:sz w:val="24"/>
          <w:szCs w:val="24"/>
        </w:rPr>
        <w:t xml:space="preserve">Calendrier du recueil PH 2026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c>
          <w:tcPr>
            <w:shd w:color="1B3A6B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shd w:color="1B3A6B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Période</w:t>
            </w:r>
          </w:p>
        </w:tc>
        <w:tc>
          <w:tcPr>
            <w:shd w:color="1B3A6B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Contenu</w:t>
            </w:r>
          </w:p>
        </w:tc>
      </w:tr>
      <w:tr>
        <w:tc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Phase 1</w:t>
            </w:r>
          </w:p>
        </w:tc>
        <w:tc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Mars 2026</w:t>
            </w:r>
          </w:p>
        </w:tc>
        <w:tc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Caractéristiques des places</w:t>
            </w:r>
          </w:p>
        </w:tc>
      </w:tr>
      <w:tr>
        <w:tc>
          <w:tcPr>
            <w:shd w:color="EEF2F7" w:val="solid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Phase 2</w:t>
            </w:r>
          </w:p>
        </w:tc>
        <w:tc>
          <w:tcPr>
            <w:shd w:color="EEF2F7" w:val="solid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Mai 2026</w:t>
            </w:r>
          </w:p>
        </w:tc>
        <w:tc>
          <w:tcPr>
            <w:shd w:color="EEF2F7" w:val="solid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Modulation d'activité (~10 variables) + dotation complémentaire (6 variables)</w:t>
            </w:r>
          </w:p>
        </w:tc>
      </w:tr>
      <w:tr>
        <w:tc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Communication ARS</w:t>
            </w:r>
          </w:p>
        </w:tc>
        <w:tc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Après validation juridique</w:t>
            </w:r>
          </w:p>
        </w:tc>
        <w:tc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Modalités techniques transmises via les ARS</w:t>
            </w:r>
          </w:p>
        </w:tc>
      </w:tr>
      <w:tr>
        <w:tc>
          <w:tcPr>
            <w:shd w:color="EEF2F7" w:val="solid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Déploiement tarification</w:t>
            </w:r>
          </w:p>
        </w:tc>
        <w:tc>
          <w:tcPr>
            <w:shd w:color="EEF2F7" w:val="solid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2027</w:t>
            </w:r>
          </w:p>
        </w:tc>
        <w:tc>
          <w:tcPr>
            <w:shd w:color="EEF2F7" w:val="solid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Entrée en vigueur du nouveau modèle</w:t>
            </w:r>
          </w:p>
        </w:tc>
      </w:tr>
    </w:tbl>
    <w:p>
      <w:pPr>
        <w:spacing w:after="80"/>
      </w:pP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B3A6B"/>
          <w:sz w:val="24"/>
          <w:szCs w:val="24"/>
        </w:rPr>
        <w:t xml:space="preserve">📌 Source 3 — </w:t>
      </w:r>
      <w:hyperlink w:history="1" r:id="rIdatih252026">
        <w:r>
          <w:rPr>
            <w:rFonts w:ascii="Calibri" w:cs="Calibri" w:eastAsia="Calibri" w:hAnsi="Calibri"/>
            <w:b/>
            <w:bCs/>
            <w:sz w:val="24"/>
            <w:szCs w:val="24"/>
            <w:color w:val="1155CC"/>
            <w:u w:val="single"/>
          </w:rPr>
          <w:t xml:space="preserve">atih.sante.fr</w:t>
        </w:r>
      </w:hyperlink>
      <w:r>
        <w:rPr>
          <w:rFonts w:ascii="Calibri" w:cs="Calibri" w:eastAsia="Calibri" w:hAnsi="Calibri"/>
          <w:b/>
          <w:bCs/>
          <w:color w:val="1B3A6B"/>
          <w:sz w:val="24"/>
          <w:szCs w:val="24"/>
        </w:rPr>
        <w:t xml:space="preserve"> ⛔ (403 — extraits WebSearch)</w:t>
      </w:r>
    </w:p>
    <w:p>
      <w:pPr>
        <w:spacing w:after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Le site ATIH bloque l'accès direct (403). Les informations ci-dessous proviennent des métadonnées WebSearch.</w:t>
      </w:r>
    </w:p>
    <w:p>
      <w:pPr>
        <w:spacing w:after="80"/>
      </w:pPr>
    </w:p>
    <w:p>
      <w:pPr>
        <w:spacing w:after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Disponible sur </w:t>
      </w:r>
      <w:hyperlink w:history="1" r:id="rIdatih252026">
        <w:r>
          <w:rPr>
            <w:rFonts w:ascii="Calibri" w:cs="Calibri" w:eastAsia="Calibri" w:hAnsi="Calibri"/>
            <w:sz w:val="22"/>
            <w:szCs w:val="22"/>
            <w:color w:val="1155CC"/>
            <w:u w:val="single"/>
          </w:rPr>
          <w:t xml:space="preserve">atih.sante.fr</w:t>
        </w:r>
      </w:hyperlink>
      <w:r>
        <w:rPr>
          <w:rFonts w:ascii="Calibri" w:cs="Calibri" w:eastAsia="Calibri" w:hAnsi="Calibri"/>
          <w:color w:val="1F2937"/>
          <w:sz w:val="22"/>
          <w:szCs w:val="22"/>
        </w:rPr>
        <w:t xml:space="preserve"> :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Page dédiée : « Recueil national PH 2025 » (https://www.atih.sante.fr/recueil-national-ph-2025)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Guide méthodologique recueil PH 2025 v2 (janvier 2025) — secteur enfance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Outil de saisie : RAMSECE-PH 2025 (logiciel fourni par ATIH)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Période de collecte 2025 : 3 février – 13 avril 2025 (9 périodes consécutives de 14 jours)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Plateforme de saisie : ph.atih.sante.fr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Recueil national SERAFIN-PH 2022 toujours accessible en archive</w:t>
      </w:r>
    </w:p>
    <w:p>
      <w:pPr>
        <w:spacing w:after="80"/>
      </w:pP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B3A6B"/>
          <w:sz w:val="24"/>
          <w:szCs w:val="24"/>
        </w:rPr>
        <w:t xml:space="preserve">⚠️ Points de vigilance pour les directions d'ESSMS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shd w:color="1B3A6B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⚠️ Point</w:t>
            </w:r>
          </w:p>
        </w:tc>
        <w:tc>
          <w:tcPr>
            <w:shd w:color="1B3A6B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Détail pratique</w:t>
            </w:r>
          </w:p>
        </w:tc>
      </w:tr>
      <w:tr>
        <w:tc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Recueil PH 2026 — participation obligatoire</w:t>
            </w:r>
          </w:p>
        </w:tc>
        <w:tc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Les ESMS enfance doivent anticiper les phases mars et mai 2026 via SIDOBA. Vérifier que les référents techniques sont formés.</w:t>
            </w:r>
          </w:p>
        </w:tc>
      </w:tr>
      <w:tr>
        <w:tc>
          <w:tcPr>
            <w:shd w:color="EEF2F7" w:val="solid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Qualité des données transport</w:t>
            </w:r>
          </w:p>
        </w:tc>
        <w:tc>
          <w:tcPr>
            <w:shd w:color="EEF2F7" w:val="solid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Des anomalies ont été signalées dans le recueil 2025. Revoir les modalités de saisie transport avant le prochain recueil.</w:t>
            </w:r>
          </w:p>
        </w:tc>
      </w:tr>
      <w:tr>
        <w:tc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Simulations impact financier</w:t>
            </w:r>
          </w:p>
        </w:tc>
        <w:tc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Chaque structure recevra une projection personnalisée. Prévoir une lecture avec la direction financière dès réception.</w:t>
            </w:r>
          </w:p>
        </w:tc>
      </w:tr>
      <w:tr>
        <w:tc>
          <w:tcPr>
            <w:shd w:color="EEF2F7" w:val="solid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Année blanche 2026</w:t>
            </w:r>
          </w:p>
        </w:tc>
        <w:tc>
          <w:tcPr>
            <w:shd w:color="EEF2F7" w:val="solid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Aucun impact financier cette année, mais les données serviront de base au modèle 2027. Ne pas négliger la rigueur de saisie.</w:t>
            </w:r>
          </w:p>
        </w:tc>
      </w:tr>
      <w:tr>
        <w:tc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Déploiement 2027</w:t>
            </w:r>
          </w:p>
        </w:tc>
        <w:tc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La bascule est confirmée pour 2027. Prévoir un accompagnement RH et budgétaire dès maintenant (CPOM, dialogues de gestion ARS).</w:t>
            </w:r>
          </w:p>
        </w:tc>
      </w:tr>
      <w:tr>
        <w:tc>
          <w:tcPr>
            <w:shd w:color="EEF2F7" w:val="solid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Périmètre actuel : enfance uniquement</w:t>
            </w:r>
          </w:p>
        </w:tc>
        <w:tc>
          <w:tcPr>
            <w:shd w:color="EEF2F7" w:val="solid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Les recueils 2025-2026 concernent le secteur enfance. Les ESMS adultes (dont foyers d'hébergement) doivent surveiller l'extension du dispositif.</w:t>
            </w:r>
          </w:p>
        </w:tc>
      </w:tr>
    </w:tbl>
    <w:p>
      <w:pPr>
        <w:spacing w:after="80"/>
      </w:pP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B3A6B"/>
          <w:sz w:val="24"/>
          <w:szCs w:val="24"/>
        </w:rPr>
        <w:t xml:space="preserve">📅 Agenda — Prochains rendez-vous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[ ] Fin 2025 — Résolution des anomalies données transport (ATIH / établissements concernés)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[ ] Mars 2026 — Phase 1 recueil PH 2026 : caractéristiques des places (via SIDOBA)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[ ] Mai 2026 — Phase 2 recueil PH 2026 : modulation d'activité + dotation complémentaire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[ ] 2026 — Réception des simulations d'impact financier individuelles par structure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[ ] 2026 — Validation juridique + communication ARS sur modalités SIDOBA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[ ] 2027 — Déploiement du nouveau modèle de tarification SERAFIN-PH</w:t>
      </w:r>
    </w:p>
    <w:p>
      <w:pPr>
        <w:spacing w:after="80"/>
      </w:pP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B3A6B"/>
          <w:sz w:val="24"/>
          <w:szCs w:val="24"/>
        </w:rPr>
        <w:t xml:space="preserve">🏛️ Rappel — Rôle des acteurs SERAFIN-PH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shd w:color="1B3A6B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Acteur</w:t>
            </w:r>
          </w:p>
        </w:tc>
        <w:tc>
          <w:tcPr>
            <w:shd w:color="1B3A6B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Rôle dans SERAFIN-PH</w:t>
            </w:r>
          </w:p>
        </w:tc>
      </w:tr>
      <w:tr>
        <w:tc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DGCS</w:t>
            </w:r>
          </w:p>
        </w:tc>
        <w:tc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Pilotage politique de la réforme · coordination interministérielle · textes réglementaires</w:t>
            </w:r>
          </w:p>
        </w:tc>
      </w:tr>
      <w:tr>
        <w:tc>
          <w:tcPr>
            <w:shd w:color="EEF2F7" w:val="solid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CNSA</w:t>
            </w:r>
          </w:p>
        </w:tc>
        <w:tc>
          <w:tcPr>
            <w:shd w:color="EEF2F7" w:val="solid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Maîtrise d'ouvrage du recueil PH · développement SIDOBA · diffusion aux ARS</w:t>
            </w:r>
          </w:p>
        </w:tc>
      </w:tr>
      <w:tr>
        <w:tc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ATIH</w:t>
            </w:r>
          </w:p>
        </w:tc>
        <w:tc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Maîtrise d'œuvre technique : outils de recueil (RAMSECE-PH) · guides méthodologiques · publication des résultats nationaux</w:t>
            </w:r>
          </w:p>
        </w:tc>
      </w:tr>
      <w:tr>
        <w:tc>
          <w:tcPr>
            <w:shd w:color="EEF2F7" w:val="solid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ARS</w:t>
            </w:r>
          </w:p>
        </w:tc>
        <w:tc>
          <w:tcPr>
            <w:shd w:color="EEF2F7" w:val="solid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Relais territorial : transmission des instructions aux ESMS · dialogue de gestion · accompagnement des structures</w:t>
            </w:r>
          </w:p>
        </w:tc>
      </w:tr>
      <w:tr>
        <w:tc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ESMS</w:t>
            </w:r>
          </w:p>
        </w:tc>
        <w:tc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Participation aux recueils · saisie des données · réception des simulations · préparation à la bascule 2027</w:t>
            </w:r>
          </w:p>
        </w:tc>
      </w:tr>
    </w:tbl>
    <w:p>
      <w:pPr>
        <w:spacing w:after="80"/>
      </w:pP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B3A6B"/>
          <w:sz w:val="24"/>
          <w:szCs w:val="24"/>
        </w:rPr>
        <w:t xml:space="preserve">ℹ️ Statut des sources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c>
          <w:tcPr>
            <w:shd w:color="1B3A6B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shd w:color="1B3A6B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Statut</w:t>
            </w:r>
          </w:p>
        </w:tc>
        <w:tc>
          <w:tcPr>
            <w:shd w:color="1B3A6B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Note</w:t>
            </w:r>
          </w:p>
        </w:tc>
      </w:tr>
      <w:tr>
        <w:tc>
          <w:p>
            <w:hyperlink w:history="1" r:id="rIdcomite2026">
              <w:r>
                <w:rPr>
                  <w:rFonts w:ascii="Calibri" w:cs="Calibri" w:eastAsia="Calibri" w:hAnsi="Calibri"/>
                  <w:sz w:val="20"/>
                  <w:szCs w:val="20"/>
                  <w:color w:val="1155CC"/>
                  <w:u w:val="single"/>
                </w:rPr>
                <w:t xml:space="preserve">handicap.gouv.fr</w:t>
              </w:r>
            </w:hyperlink>
          </w:p>
        </w:tc>
        <w:tc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✅ Accessible</w:t>
            </w:r>
          </w:p>
        </w:tc>
        <w:tc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Dernière info : comité stratég. 02/07/2025</w:t>
            </w:r>
          </w:p>
        </w:tc>
      </w:tr>
      <w:tr>
        <w:tc>
          <w:tcPr>
            <w:shd w:color="EEF2F7" w:val="solid"/>
          </w:tcPr>
          <w:p>
            <w:hyperlink w:history="1" r:id="rIdcnsa_actu2026">
              <w:r>
                <w:rPr>
                  <w:rFonts w:ascii="Calibri" w:cs="Calibri" w:eastAsia="Calibri" w:hAnsi="Calibri"/>
                  <w:sz w:val="20"/>
                  <w:szCs w:val="20"/>
                  <w:color w:val="1155CC"/>
                  <w:u w:val="single"/>
                </w:rPr>
                <w:t xml:space="preserve">cnsa.fr</w:t>
              </w:r>
            </w:hyperlink>
          </w:p>
        </w:tc>
        <w:tc>
          <w:tcPr>
            <w:shd w:color="EEF2F7" w:val="solid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✅ Accessible</w:t>
            </w:r>
          </w:p>
        </w:tc>
        <w:tc>
          <w:tcPr>
            <w:shd w:color="EEF2F7" w:val="solid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Dernière info : 17/12/2025 — recueil PH 2026</w:t>
            </w:r>
          </w:p>
        </w:tc>
      </w:tr>
      <w:tr>
        <w:tc>
          <w:p>
            <w:hyperlink w:history="1" r:id="rIdatih252026">
              <w:r>
                <w:rPr>
                  <w:rFonts w:ascii="Calibri" w:cs="Calibri" w:eastAsia="Calibri" w:hAnsi="Calibri"/>
                  <w:sz w:val="20"/>
                  <w:szCs w:val="20"/>
                  <w:color w:val="1155CC"/>
                  <w:u w:val="single"/>
                </w:rPr>
                <w:t xml:space="preserve">atih.sante.fr</w:t>
              </w:r>
            </w:hyperlink>
          </w:p>
        </w:tc>
        <w:tc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⛔ 403 Forbidden</w:t>
            </w:r>
          </w:p>
        </w:tc>
        <w:tc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Extraits via WebSearch — contenu partiel</w:t>
            </w:r>
          </w:p>
        </w:tc>
      </w:tr>
    </w:tbl>
    <w:p>
      <w:pPr>
        <w:spacing w:after="120" w:before="32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📝 Journal des corrections — 12 septembre 2026</w:t>
      </w:r>
    </w:p>
    <w:p>
      <w:p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Note produite le 24/06/2026, relue le 12/09/2026 au cours d'un contrôle d'attribution des 221 documents du dépôt (règle ⑭ : une page ou un site nommé comme source doit être lié). Contenu inchangé.</w:t>
      </w:r>
    </w:p>
    <w:p>
      <w:p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Chemins et sites nommés sans lien cliquable, chacun lié le 12/09/2026 à la page qu'il désigne, testée à 200 dans un navigateur (Légifrance : 403 pour l'agent du job, lisible dans un navigateur) : handicap.gouv.fr/…serafin-ph → handicap.gouv.fr/comite-strategique-de-la-reforme-tarifaire-des-etabli… (1) ; cnsa.fr/…PH-2026 → www.cnsa.fr/actualites/serafin-ph-preparation-du-recueil-dinformations… (1) ; atih.sante.fr/recueil-national-ph-2025 → www.atih.sante.fr/recueil-national-ph-2025 (1) ; handicap.gouv.fr → handicap.gouv.fr/comite-strategique-de-la-reforme-tarifaire-des-etabli… (3) ; cnsa.fr → www.cnsa.fr/actualites/serafin-ph-preparation-du-recueil-dinformations… (3) ; atih.sante.fr → www.atih.sante.fr/recueil-national-ph-2025 (4).</w:t>
      </w:r>
    </w:p>
    <w:sectPr>
      <w:headerReference w:type="default" r:id="rId7"/>
      <w:footerReference w:type="default" r:id="rId8"/>
      <w:pgSz w:w="11906" w:h="16838" w:orient="portrait"/>
      <w:pgMar w:top="1134" w:right="1417" w:bottom="1134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1F2937"/>
        <w:sz w:val="16"/>
        <w:szCs w:val="16"/>
      </w:rPr>
      <w:t xml:space="preserve">Produit le 2026-06-24 · Sources : handicap.gouv.fr ✅ | cnsa.fr ✅ | atih.sante.fr 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1B3A6B"/>
        <w:sz w:val="18"/>
        <w:szCs w:val="18"/>
      </w:rPr>
      <w:t xml:space="preserve">Veille SERAFIN-PH — </w:t>
    </w:r>
    <w:r>
      <w:rPr>
        <w:rFonts w:ascii="Calibri" w:cs="Calibri" w:eastAsia="Calibri" w:hAnsi="Calibri"/>
        <w:b/>
        <w:bCs/>
        <w:color w:val="1B3A6B"/>
        <w:sz w:val="18"/>
        <w:szCs w:val="18"/>
      </w:rPr>
      <w:t xml:space="preserve">2026-06-24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comite2026" Type="http://schemas.openxmlformats.org/officeDocument/2006/relationships/hyperlink" Target="https://handicap.gouv.fr/comite-strategique-de-la-reforme-tarifaire-des-etablissements-et-services-pour-personnes-handicapees-serafin-ph" TargetMode="External"/><Relationship Id="rIdcnsa_actu2026" Type="http://schemas.openxmlformats.org/officeDocument/2006/relationships/hyperlink" Target="https://www.cnsa.fr/actualites/serafin-ph-preparation-du-recueil-dinformations-ph-2026-en-vue-du-deploiement-du-futur" TargetMode="External"/><Relationship Id="rIdatih252026" Type="http://schemas.openxmlformats.org/officeDocument/2006/relationships/hyperlink" Target="https://www.atih.sante.fr/recueil-national-ph-2025" TargetMode="Externa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2026-06-24T06:05:25.504Z</dcterms:created>
  <dcterms:modified xsi:type="dcterms:W3CDTF">2026-06-24T06:05:25.505Z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