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jc w:val="center"/>
      </w:pPr>
      <w:r>
        <w:rPr>
          <w:rFonts w:ascii="Calibri" w:cs="Calibri" w:eastAsia="Calibri" w:hAnsi="Calibri"/>
          <w:b/>
          <w:bCs/>
          <w:color w:val="1B3A6B"/>
          <w:sz w:val="40"/>
          <w:szCs w:val="40"/>
        </w:rPr>
        <w:t xml:space="preserve">Veille SERAFIN-PH</w:t>
      </w:r>
    </w:p>
    <w:p>
      <w:pPr>
        <w:spacing w:after="40" w:before="0"/>
        <w:jc w:val="center"/>
      </w:pPr>
      <w:r>
        <w:rPr>
          <w:rFonts w:ascii="Calibri" w:cs="Calibri" w:eastAsia="Calibri" w:hAnsi="Calibri"/>
          <w:color w:val="1F2937"/>
          <w:sz w:val="26"/>
          <w:szCs w:val="26"/>
        </w:rPr>
        <w:t xml:space="preserve">Synthèse hebdomadaire — 5 août 2026</w:t>
      </w:r>
    </w:p>
    <w:p>
      <w:pPr>
        <w:spacing w:after="240" w:before="0"/>
        <w:jc w:val="center"/>
      </w:pPr>
      <w:r>
        <w:rPr>
          <w:rFonts w:ascii="Calibri" w:cs="Calibri" w:eastAsia="Calibri" w:hAnsi="Calibri"/>
          <w:i/>
          <w:iCs/>
          <w:color w:val="6B7280"/>
          <w:sz w:val="22"/>
          <w:szCs w:val="22"/>
        </w:rPr>
        <w:t xml:space="preserve">Fenêtre couverte : 29 juillet 2026 – 5 août 2026</w:t>
      </w:r>
    </w:p>
    <w:p>
      <w:pPr>
        <w:pBdr>
          <w:bottom w:val="single" w:color="1B3A6B" w:sz="6"/>
        </w:pBdr>
        <w:spacing w:after="120" w:before="240"/>
      </w:pPr>
      <w:r>
        <w:rPr>
          <w:rFonts w:ascii="Calibri" w:cs="Calibri" w:eastAsia="Calibri" w:hAnsi="Calibri"/>
          <w:b/>
          <w:bCs/>
          <w:color w:val="1B3A6B"/>
          <w:sz w:val="28"/>
          <w:szCs w:val="28"/>
        </w:rPr>
        <w:t xml:space="preserve">📋 Statut des sources</w:t>
      </w:r>
    </w:p>
    <w:p>
      <w:pPr>
        <w:spacing w:after="60" w:before="60"/>
      </w:pPr>
      <w:r>
        <w:rPr>
          <w:rFonts w:ascii="Calibri" w:cs="Calibri" w:eastAsia="Calibri" w:hAnsi="Calibri"/>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45%"/>
            <w:shd w:fill="1B3A6B" w:color="1B3A6B" w:val="solid"/>
            <w:vAlign w:val="center"/>
          </w:tcPr>
          <w:p>
            <w:pPr>
              <w:jc w:val="center"/>
            </w:pPr>
            <w:r>
              <w:rPr>
                <w:rFonts w:ascii="Calibri" w:cs="Calibri" w:eastAsia="Calibri" w:hAnsi="Calibri"/>
                <w:b/>
                <w:bCs/>
                <w:color w:val="FFFFFF"/>
                <w:sz w:val="20"/>
                <w:szCs w:val="20"/>
              </w:rPr>
              <w:t xml:space="preserve">Source</w:t>
            </w:r>
          </w:p>
        </w:tc>
        <w:tc>
          <w:tcPr>
            <w:tcW w:type="pct" w:w="20%"/>
            <w:shd w:fill="1B3A6B" w:color="1B3A6B" w:val="solid"/>
            <w:vAlign w:val="center"/>
          </w:tcPr>
          <w:p>
            <w:pPr>
              <w:jc w:val="center"/>
            </w:pPr>
            <w:r>
              <w:rPr>
                <w:rFonts w:ascii="Calibri" w:cs="Calibri" w:eastAsia="Calibri" w:hAnsi="Calibri"/>
                <w:b/>
                <w:bCs/>
                <w:color w:val="FFFFFF"/>
                <w:sz w:val="20"/>
                <w:szCs w:val="20"/>
              </w:rPr>
              <w:t xml:space="preserve">Statut</w:t>
            </w:r>
          </w:p>
        </w:tc>
        <w:tc>
          <w:tcPr>
            <w:tcW w:type="pct" w:w="35%"/>
            <w:shd w:fill="1B3A6B" w:color="1B3A6B" w:val="solid"/>
            <w:vAlign w:val="center"/>
          </w:tcPr>
          <w:p>
            <w:pPr>
              <w:jc w:val="center"/>
            </w:pPr>
            <w:r>
              <w:rPr>
                <w:rFonts w:ascii="Calibri" w:cs="Calibri" w:eastAsia="Calibri" w:hAnsi="Calibri"/>
                <w:b/>
                <w:bCs/>
                <w:color w:val="FFFFFF"/>
                <w:sz w:val="20"/>
                <w:szCs w:val="20"/>
              </w:rPr>
              <w:t xml:space="preserve">Remarque</w:t>
            </w:r>
          </w:p>
        </w:tc>
      </w:tr>
      <w:tr>
        <w:tc>
          <w:tcPr>
            <w:tcMar>
              <w:top w:type="dxa" w:w="60"/>
              <w:left w:type="dxa" w:w="80"/>
              <w:bottom w:type="dxa" w:w="60"/>
              <w:right w:type="dxa" w:w="80"/>
            </w:tcMar>
            <w:vAlign w:val="center"/>
          </w:tcPr>
          <w:p>
            <w:pPr>
              <w:jc w:val="left"/>
            </w:pPr>
            <w:r>
              <w:rPr>
                <w:rFonts w:ascii="Calibri" w:cs="Calibri" w:eastAsia="Calibri" w:hAnsi="Calibri"/>
                <w:b w:val="false"/>
                <w:bCs w:val="false"/>
                <w:color w:val="1F2937"/>
                <w:sz w:val="20"/>
                <w:szCs w:val="20"/>
              </w:rPr>
              <w:t xml:space="preserve">handicap.gouv.fr — Comité stratégique SERAFIN-PH</w:t>
            </w:r>
          </w:p>
        </w:tc>
        <w:tc>
          <w:tcPr>
            <w:tcMar>
              <w:top w:type="dxa" w:w="60"/>
              <w:left w:type="dxa" w:w="80"/>
              <w:bottom w:type="dxa" w:w="60"/>
              <w:right w:type="dxa" w:w="80"/>
            </w:tcMar>
            <w:vAlign w:val="center"/>
          </w:tcPr>
          <w:p>
            <w:pPr>
              <w:jc w:val="left"/>
            </w:pPr>
            <w:r>
              <w:rPr>
                <w:rFonts w:ascii="Calibri" w:cs="Calibri" w:eastAsia="Calibri" w:hAnsi="Calibri"/>
                <w:b/>
                <w:bCs/>
                <w:color w:val="1F2937"/>
                <w:sz w:val="20"/>
                <w:szCs w:val="20"/>
              </w:rPr>
              <w:t xml:space="preserve">✅ Consultée</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1F2937"/>
                <w:sz w:val="20"/>
                <w:szCs w:val="20"/>
              </w:rPr>
              <w:t xml:space="preserve">Publiée le 03/07/2025 — hors fenêtre</w:t>
            </w:r>
          </w:p>
        </w:tc>
      </w:tr>
      <w:tr>
        <w:tc>
          <w:tcPr>
            <w:shd w:fill="EEF2F7" w:color="EEF2F7" w:val="solid"/>
            <w:tcMar>
              <w:top w:type="dxa" w:w="60"/>
              <w:left w:type="dxa" w:w="80"/>
              <w:bottom w:type="dxa" w:w="60"/>
              <w:right w:type="dxa" w:w="80"/>
            </w:tcMar>
            <w:vAlign w:val="center"/>
          </w:tcPr>
          <w:p>
            <w:pPr>
              <w:jc w:val="left"/>
            </w:pPr>
            <w:r>
              <w:rPr>
                <w:rFonts w:ascii="Calibri" w:cs="Calibri" w:eastAsia="Calibri" w:hAnsi="Calibri"/>
                <w:b w:val="false"/>
                <w:bCs w:val="false"/>
                <w:color w:val="1F2937"/>
                <w:sz w:val="20"/>
                <w:szCs w:val="20"/>
              </w:rPr>
              <w:t xml:space="preserve">CNSA — Recueil PH 2026 (actualité déc. 2025)</w:t>
            </w:r>
          </w:p>
        </w:tc>
        <w:tc>
          <w:tcPr>
            <w:shd w:fill="EEF2F7" w:color="EEF2F7" w:val="solid"/>
            <w:tcMar>
              <w:top w:type="dxa" w:w="60"/>
              <w:left w:type="dxa" w:w="80"/>
              <w:bottom w:type="dxa" w:w="60"/>
              <w:right w:type="dxa" w:w="80"/>
            </w:tcMar>
            <w:vAlign w:val="center"/>
          </w:tcPr>
          <w:p>
            <w:pPr>
              <w:jc w:val="left"/>
            </w:pPr>
            <w:r>
              <w:rPr>
                <w:rFonts w:ascii="Calibri" w:cs="Calibri" w:eastAsia="Calibri" w:hAnsi="Calibri"/>
                <w:b/>
                <w:bCs/>
                <w:color w:val="1F2937"/>
                <w:sz w:val="20"/>
                <w:szCs w:val="20"/>
              </w:rPr>
              <w:t xml:space="preserve">✅ Consultée</w:t>
            </w:r>
          </w:p>
        </w:tc>
        <w:tc>
          <w:tcPr>
            <w:shd w:fill="EEF2F7" w:color="EEF2F7" w:val="solid"/>
            <w:tcMar>
              <w:top w:type="dxa" w:w="60"/>
              <w:left w:type="dxa" w:w="80"/>
              <w:bottom w:type="dxa" w:w="60"/>
              <w:right w:type="dxa" w:w="80"/>
            </w:tcMar>
            <w:vAlign w:val="center"/>
          </w:tcPr>
          <w:p>
            <w:pPr>
              <w:jc w:val="left"/>
            </w:pPr>
            <w:r>
              <w:rPr>
                <w:rFonts w:ascii="Calibri" w:cs="Calibri" w:eastAsia="Calibri" w:hAnsi="Calibri"/>
                <w:b w:val="false"/>
                <w:bCs w:val="false"/>
                <w:color w:val="1F2937"/>
                <w:sz w:val="20"/>
                <w:szCs w:val="20"/>
              </w:rPr>
              <w:t xml:space="preserve">Publiée le 17/12/2025 — hors fenêtre</w:t>
            </w:r>
          </w:p>
        </w:tc>
      </w:tr>
      <w:tr>
        <w:tc>
          <w:tcPr>
            <w:tcMar>
              <w:top w:type="dxa" w:w="60"/>
              <w:left w:type="dxa" w:w="80"/>
              <w:bottom w:type="dxa" w:w="60"/>
              <w:right w:type="dxa" w:w="80"/>
            </w:tcMar>
            <w:vAlign w:val="center"/>
          </w:tcPr>
          <w:p>
            <w:pPr>
              <w:jc w:val="left"/>
            </w:pPr>
            <w:r>
              <w:rPr>
                <w:rFonts w:ascii="Calibri" w:cs="Calibri" w:eastAsia="Calibri" w:hAnsi="Calibri"/>
                <w:b w:val="false"/>
                <w:bCs w:val="false"/>
                <w:color w:val="1F2937"/>
                <w:sz w:val="20"/>
                <w:szCs w:val="20"/>
              </w:rPr>
              <w:t xml:space="preserve">handicap.gouv.fr — 14e réunion du comité stratégique</w:t>
            </w:r>
          </w:p>
        </w:tc>
        <w:tc>
          <w:tcPr>
            <w:tcMar>
              <w:top w:type="dxa" w:w="60"/>
              <w:left w:type="dxa" w:w="80"/>
              <w:bottom w:type="dxa" w:w="60"/>
              <w:right w:type="dxa" w:w="80"/>
            </w:tcMar>
            <w:vAlign w:val="center"/>
          </w:tcPr>
          <w:p>
            <w:pPr>
              <w:jc w:val="left"/>
            </w:pPr>
            <w:r>
              <w:rPr>
                <w:rFonts w:ascii="Calibri" w:cs="Calibri" w:eastAsia="Calibri" w:hAnsi="Calibri"/>
                <w:b/>
                <w:bCs/>
                <w:color w:val="1F2937"/>
                <w:sz w:val="20"/>
                <w:szCs w:val="20"/>
              </w:rPr>
              <w:t xml:space="preserve">✅ Consultée</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1F2937"/>
                <w:sz w:val="20"/>
                <w:szCs w:val="20"/>
              </w:rPr>
              <w:t xml:space="preserve">Publiée le 27/03/2026 — hors fenêtre</w:t>
            </w:r>
          </w:p>
        </w:tc>
      </w:tr>
      <w:tr>
        <w:tc>
          <w:tcPr>
            <w:shd w:fill="EEF2F7" w:color="EEF2F7" w:val="solid"/>
            <w:tcMar>
              <w:top w:type="dxa" w:w="60"/>
              <w:left w:type="dxa" w:w="80"/>
              <w:bottom w:type="dxa" w:w="60"/>
              <w:right w:type="dxa" w:w="80"/>
            </w:tcMar>
            <w:vAlign w:val="center"/>
          </w:tcPr>
          <w:p>
            <w:pPr>
              <w:jc w:val="left"/>
            </w:pPr>
            <w:r>
              <w:rPr>
                <w:rFonts w:ascii="Calibri" w:cs="Calibri" w:eastAsia="Calibri" w:hAnsi="Calibri"/>
                <w:b w:val="false"/>
                <w:bCs w:val="false"/>
                <w:color w:val="1F2937"/>
                <w:sz w:val="20"/>
                <w:szCs w:val="20"/>
              </w:rPr>
              <w:t xml:space="preserve">CNSA — Page principale SERAFIN-PH</w:t>
            </w:r>
          </w:p>
        </w:tc>
        <w:tc>
          <w:tcPr>
            <w:shd w:fill="EEF2F7" w:color="EEF2F7" w:val="solid"/>
            <w:tcMar>
              <w:top w:type="dxa" w:w="60"/>
              <w:left w:type="dxa" w:w="80"/>
              <w:bottom w:type="dxa" w:w="60"/>
              <w:right w:type="dxa" w:w="80"/>
            </w:tcMar>
            <w:vAlign w:val="center"/>
          </w:tcPr>
          <w:p>
            <w:pPr>
              <w:jc w:val="left"/>
            </w:pPr>
            <w:r>
              <w:rPr>
                <w:rFonts w:ascii="Calibri" w:cs="Calibri" w:eastAsia="Calibri" w:hAnsi="Calibri"/>
                <w:b/>
                <w:bCs/>
                <w:color w:val="1F2937"/>
                <w:sz w:val="20"/>
                <w:szCs w:val="20"/>
              </w:rPr>
              <w:t xml:space="preserve">✅ Consultée</w:t>
            </w:r>
          </w:p>
        </w:tc>
        <w:tc>
          <w:tcPr>
            <w:shd w:fill="EEF2F7" w:color="EEF2F7" w:val="solid"/>
            <w:tcMar>
              <w:top w:type="dxa" w:w="60"/>
              <w:left w:type="dxa" w:w="80"/>
              <w:bottom w:type="dxa" w:w="60"/>
              <w:right w:type="dxa" w:w="80"/>
            </w:tcMar>
            <w:vAlign w:val="center"/>
          </w:tcPr>
          <w:p>
            <w:pPr>
              <w:jc w:val="left"/>
            </w:pPr>
            <w:r>
              <w:rPr>
                <w:rFonts w:ascii="Calibri" w:cs="Calibri" w:eastAsia="Calibri" w:hAnsi="Calibri"/>
                <w:b w:val="false"/>
                <w:bCs w:val="false"/>
                <w:color w:val="1F2937"/>
                <w:sz w:val="20"/>
                <w:szCs w:val="20"/>
              </w:rPr>
              <w:t xml:space="preserve">Consultée le 05/08/2026 — éléments 2026 récupérés</w:t>
            </w:r>
          </w:p>
        </w:tc>
      </w:tr>
      <w:tr>
        <w:tc>
          <w:tcPr>
            <w:tcMar>
              <w:top w:type="dxa" w:w="60"/>
              <w:left w:type="dxa" w:w="80"/>
              <w:bottom w:type="dxa" w:w="60"/>
              <w:right w:type="dxa" w:w="80"/>
            </w:tcMar>
            <w:vAlign w:val="center"/>
          </w:tcPr>
          <w:p>
            <w:pPr>
              <w:jc w:val="left"/>
            </w:pPr>
            <w:r>
              <w:rPr>
                <w:rFonts w:ascii="Calibri" w:cs="Calibri" w:eastAsia="Calibri" w:hAnsi="Calibri"/>
                <w:b w:val="false"/>
                <w:bCs w:val="false"/>
                <w:color w:val="1F2937"/>
                <w:sz w:val="20"/>
                <w:szCs w:val="20"/>
              </w:rPr>
              <w:t xml:space="preserve">ATIH — Recueil national PH 2025</w:t>
            </w:r>
          </w:p>
        </w:tc>
        <w:tc>
          <w:tcPr>
            <w:tcMar>
              <w:top w:type="dxa" w:w="60"/>
              <w:left w:type="dxa" w:w="80"/>
              <w:bottom w:type="dxa" w:w="60"/>
              <w:right w:type="dxa" w:w="80"/>
            </w:tcMar>
            <w:vAlign w:val="center"/>
          </w:tcPr>
          <w:p>
            <w:pPr>
              <w:jc w:val="left"/>
            </w:pPr>
            <w:r>
              <w:rPr>
                <w:rFonts w:ascii="Calibri" w:cs="Calibri" w:eastAsia="Calibri" w:hAnsi="Calibri"/>
                <w:b/>
                <w:bCs/>
                <w:color w:val="1F2937"/>
                <w:sz w:val="20"/>
                <w:szCs w:val="20"/>
              </w:rPr>
              <w:t xml:space="preserve">⛔ Non lisible</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1F2937"/>
                <w:sz w:val="20"/>
                <w:szCs w:val="20"/>
              </w:rPr>
              <w:t xml:space="preserve">HTTP 200 en curl ; WebFetch bloqué (403 anti-robot)</w:t>
            </w:r>
          </w:p>
        </w:tc>
      </w:tr>
    </w:tbl>
    <w:p>
      <w:pPr>
        <w:spacing w:after="60" w:before="60"/>
      </w:pPr>
      <w:r>
        <w:rPr>
          <w:rFonts w:ascii="Calibri" w:cs="Calibri" w:eastAsia="Calibri" w:hAnsi="Calibri"/>
          <w:sz w:val="22"/>
          <w:szCs w:val="22"/>
        </w:rPr>
        <w:t xml:space="preserve"/>
      </w:r>
    </w:p>
    <w:p>
      <w:pPr>
        <w:pBdr>
          <w:bottom w:val="single" w:color="1B3A6B" w:sz="6"/>
        </w:pBdr>
        <w:spacing w:after="120" w:before="240"/>
      </w:pPr>
      <w:r>
        <w:rPr>
          <w:rFonts w:ascii="Calibri" w:cs="Calibri" w:eastAsia="Calibri" w:hAnsi="Calibri"/>
          <w:b/>
          <w:bCs/>
          <w:color w:val="1B3A6B"/>
          <w:sz w:val="28"/>
          <w:szCs w:val="28"/>
        </w:rPr>
        <w:t xml:space="preserve">🔵 En bref — Tableau de bord</w:t>
      </w:r>
    </w:p>
    <w:p>
      <w:pPr>
        <w:spacing w:after="60" w:before="60"/>
      </w:pPr>
      <w:r>
        <w:rPr>
          <w:rFonts w:ascii="Calibri" w:cs="Calibri" w:eastAsia="Calibri" w:hAnsi="Calibri"/>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45%"/>
            <w:shd w:fill="1B3A6B" w:color="1B3A6B" w:val="solid"/>
            <w:vAlign w:val="center"/>
          </w:tcPr>
          <w:p>
            <w:pPr>
              <w:jc w:val="center"/>
            </w:pPr>
            <w:r>
              <w:rPr>
                <w:rFonts w:ascii="Calibri" w:cs="Calibri" w:eastAsia="Calibri" w:hAnsi="Calibri"/>
                <w:b/>
                <w:bCs/>
                <w:color w:val="FFFFFF"/>
                <w:sz w:val="20"/>
                <w:szCs w:val="20"/>
              </w:rPr>
              <w:t xml:space="preserve">Thème</w:t>
            </w:r>
          </w:p>
        </w:tc>
        <w:tc>
          <w:tcPr>
            <w:tcW w:type="pct" w:w="25%"/>
            <w:shd w:fill="1B3A6B" w:color="1B3A6B" w:val="solid"/>
            <w:vAlign w:val="center"/>
          </w:tcPr>
          <w:p>
            <w:pPr>
              <w:jc w:val="center"/>
            </w:pPr>
            <w:r>
              <w:rPr>
                <w:rFonts w:ascii="Calibri" w:cs="Calibri" w:eastAsia="Calibri" w:hAnsi="Calibri"/>
                <w:b/>
                <w:bCs/>
                <w:color w:val="FFFFFF"/>
                <w:sz w:val="20"/>
                <w:szCs w:val="20"/>
              </w:rPr>
              <w:t xml:space="preserve">Statut</w:t>
            </w:r>
          </w:p>
        </w:tc>
        <w:tc>
          <w:tcPr>
            <w:tcW w:type="pct" w:w="30%"/>
            <w:shd w:fill="1B3A6B" w:color="1B3A6B" w:val="solid"/>
            <w:vAlign w:val="center"/>
          </w:tcPr>
          <w:p>
            <w:pPr>
              <w:jc w:val="center"/>
            </w:pPr>
            <w:r>
              <w:rPr>
                <w:rFonts w:ascii="Calibri" w:cs="Calibri" w:eastAsia="Calibri" w:hAnsi="Calibri"/>
                <w:b/>
                <w:bCs/>
                <w:color w:val="FFFFFF"/>
                <w:sz w:val="20"/>
                <w:szCs w:val="20"/>
              </w:rPr>
              <w:t xml:space="preserve">Échéance</w:t>
            </w:r>
          </w:p>
        </w:tc>
      </w:tr>
      <w:tr>
        <w:tc>
          <w:tcPr>
            <w:tcMar>
              <w:top w:type="dxa" w:w="60"/>
              <w:left w:type="dxa" w:w="80"/>
              <w:bottom w:type="dxa" w:w="60"/>
              <w:right w:type="dxa" w:w="80"/>
            </w:tcMar>
            <w:vAlign w:val="center"/>
          </w:tcPr>
          <w:p>
            <w:pPr>
              <w:jc w:val="left"/>
            </w:pPr>
            <w:r>
              <w:rPr>
                <w:rFonts w:ascii="Calibri" w:cs="Calibri" w:eastAsia="Calibri" w:hAnsi="Calibri"/>
                <w:b w:val="false"/>
                <w:bCs w:val="false"/>
                <w:color w:val="1F2937"/>
                <w:sz w:val="20"/>
                <w:szCs w:val="20"/>
              </w:rPr>
              <w:t xml:space="preserve">Actualités semaine 29/07–05/08/2026</w:t>
            </w:r>
          </w:p>
        </w:tc>
        <w:tc>
          <w:tcPr>
            <w:tcMar>
              <w:top w:type="dxa" w:w="60"/>
              <w:left w:type="dxa" w:w="80"/>
              <w:bottom w:type="dxa" w:w="60"/>
              <w:right w:type="dxa" w:w="80"/>
            </w:tcMar>
            <w:vAlign w:val="center"/>
          </w:tcPr>
          <w:p>
            <w:pPr>
              <w:jc w:val="left"/>
            </w:pPr>
            <w:r>
              <w:rPr>
                <w:rFonts w:ascii="Calibri" w:cs="Calibri" w:eastAsia="Calibri" w:hAnsi="Calibri"/>
                <w:b/>
                <w:bCs/>
                <w:color w:val="1F2937"/>
                <w:sz w:val="20"/>
                <w:szCs w:val="20"/>
              </w:rPr>
              <w:t xml:space="preserve">🟢 Semaine creuse</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1F2937"/>
                <w:sz w:val="20"/>
                <w:szCs w:val="20"/>
              </w:rPr>
              <w:t xml:space="preserve">—</w:t>
            </w:r>
          </w:p>
        </w:tc>
      </w:tr>
      <w:tr>
        <w:tc>
          <w:tcPr>
            <w:shd w:fill="EEF2F7" w:color="EEF2F7" w:val="solid"/>
            <w:tcMar>
              <w:top w:type="dxa" w:w="60"/>
              <w:left w:type="dxa" w:w="80"/>
              <w:bottom w:type="dxa" w:w="60"/>
              <w:right w:type="dxa" w:w="80"/>
            </w:tcMar>
            <w:vAlign w:val="center"/>
          </w:tcPr>
          <w:p>
            <w:pPr>
              <w:jc w:val="left"/>
            </w:pPr>
            <w:r>
              <w:rPr>
                <w:rFonts w:ascii="Calibri" w:cs="Calibri" w:eastAsia="Calibri" w:hAnsi="Calibri"/>
                <w:b w:val="false"/>
                <w:bCs w:val="false"/>
                <w:color w:val="1F2937"/>
                <w:sz w:val="20"/>
                <w:szCs w:val="20"/>
              </w:rPr>
              <w:t xml:space="preserve">Déploiement SERAFIN-PH</w:t>
            </w:r>
          </w:p>
        </w:tc>
        <w:tc>
          <w:tcPr>
            <w:shd w:fill="EEF2F7" w:color="EEF2F7" w:val="solid"/>
            <w:tcMar>
              <w:top w:type="dxa" w:w="60"/>
              <w:left w:type="dxa" w:w="80"/>
              <w:bottom w:type="dxa" w:w="60"/>
              <w:right w:type="dxa" w:w="80"/>
            </w:tcMar>
            <w:vAlign w:val="center"/>
          </w:tcPr>
          <w:p>
            <w:pPr>
              <w:jc w:val="left"/>
            </w:pPr>
            <w:r>
              <w:rPr>
                <w:rFonts w:ascii="Calibri" w:cs="Calibri" w:eastAsia="Calibri" w:hAnsi="Calibri"/>
                <w:b/>
                <w:bCs/>
                <w:color w:val="1F2937"/>
                <w:sz w:val="20"/>
                <w:szCs w:val="20"/>
              </w:rPr>
              <w:t xml:space="preserve">✅ Confirmé</w:t>
            </w:r>
          </w:p>
        </w:tc>
        <w:tc>
          <w:tcPr>
            <w:shd w:fill="EEF2F7" w:color="EEF2F7" w:val="solid"/>
            <w:tcMar>
              <w:top w:type="dxa" w:w="60"/>
              <w:left w:type="dxa" w:w="80"/>
              <w:bottom w:type="dxa" w:w="60"/>
              <w:right w:type="dxa" w:w="80"/>
            </w:tcMar>
            <w:vAlign w:val="center"/>
          </w:tcPr>
          <w:p>
            <w:pPr>
              <w:jc w:val="left"/>
            </w:pPr>
            <w:r>
              <w:rPr>
                <w:rFonts w:ascii="Calibri" w:cs="Calibri" w:eastAsia="Calibri" w:hAnsi="Calibri"/>
                <w:b w:val="false"/>
                <w:bCs w:val="false"/>
                <w:color w:val="1F2937"/>
                <w:sz w:val="20"/>
                <w:szCs w:val="20"/>
              </w:rPr>
              <w:t xml:space="preserve">1er janvier 2027</w:t>
            </w:r>
          </w:p>
        </w:tc>
      </w:tr>
      <w:tr>
        <w:tc>
          <w:tcPr>
            <w:tcMar>
              <w:top w:type="dxa" w:w="60"/>
              <w:left w:type="dxa" w:w="80"/>
              <w:bottom w:type="dxa" w:w="60"/>
              <w:right w:type="dxa" w:w="80"/>
            </w:tcMar>
            <w:vAlign w:val="center"/>
          </w:tcPr>
          <w:p>
            <w:pPr>
              <w:jc w:val="left"/>
            </w:pPr>
            <w:r>
              <w:rPr>
                <w:rFonts w:ascii="Calibri" w:cs="Calibri" w:eastAsia="Calibri" w:hAnsi="Calibri"/>
                <w:b w:val="false"/>
                <w:bCs w:val="false"/>
                <w:color w:val="1F2937"/>
                <w:sz w:val="20"/>
                <w:szCs w:val="20"/>
              </w:rPr>
              <w:t xml:space="preserve">Recueil de données PH 2026</w:t>
            </w:r>
          </w:p>
        </w:tc>
        <w:tc>
          <w:tcPr>
            <w:tcMar>
              <w:top w:type="dxa" w:w="60"/>
              <w:left w:type="dxa" w:w="80"/>
              <w:bottom w:type="dxa" w:w="60"/>
              <w:right w:type="dxa" w:w="80"/>
            </w:tcMar>
            <w:vAlign w:val="center"/>
          </w:tcPr>
          <w:p>
            <w:pPr>
              <w:jc w:val="left"/>
            </w:pPr>
            <w:r>
              <w:rPr>
                <w:rFonts w:ascii="Calibri" w:cs="Calibri" w:eastAsia="Calibri" w:hAnsi="Calibri"/>
                <w:b/>
                <w:bCs/>
                <w:color w:val="1F2937"/>
                <w:sz w:val="20"/>
                <w:szCs w:val="20"/>
              </w:rPr>
              <w:t xml:space="preserve">✅ Clôturé (88 % ESMS)</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1F2937"/>
                <w:sz w:val="20"/>
                <w:szCs w:val="20"/>
              </w:rPr>
              <w:t xml:space="preserve">Clôturé début juillet 2026</w:t>
            </w:r>
          </w:p>
        </w:tc>
      </w:tr>
      <w:tr>
        <w:tc>
          <w:tcPr>
            <w:shd w:fill="EEF2F7" w:color="EEF2F7" w:val="solid"/>
            <w:tcMar>
              <w:top w:type="dxa" w:w="60"/>
              <w:left w:type="dxa" w:w="80"/>
              <w:bottom w:type="dxa" w:w="60"/>
              <w:right w:type="dxa" w:w="80"/>
            </w:tcMar>
            <w:vAlign w:val="center"/>
          </w:tcPr>
          <w:p>
            <w:pPr>
              <w:jc w:val="left"/>
            </w:pPr>
            <w:r>
              <w:rPr>
                <w:rFonts w:ascii="Calibri" w:cs="Calibri" w:eastAsia="Calibri" w:hAnsi="Calibri"/>
                <w:b w:val="false"/>
                <w:bCs w:val="false"/>
                <w:color w:val="1F2937"/>
                <w:sz w:val="20"/>
                <w:szCs w:val="20"/>
              </w:rPr>
              <w:t xml:space="preserve">Décret modalités de données</w:t>
            </w:r>
          </w:p>
        </w:tc>
        <w:tc>
          <w:tcPr>
            <w:shd w:fill="EEF2F7" w:color="EEF2F7" w:val="solid"/>
            <w:tcMar>
              <w:top w:type="dxa" w:w="60"/>
              <w:left w:type="dxa" w:w="80"/>
              <w:bottom w:type="dxa" w:w="60"/>
              <w:right w:type="dxa" w:w="80"/>
            </w:tcMar>
            <w:vAlign w:val="center"/>
          </w:tcPr>
          <w:p>
            <w:pPr>
              <w:jc w:val="left"/>
            </w:pPr>
            <w:r>
              <w:rPr>
                <w:rFonts w:ascii="Calibri" w:cs="Calibri" w:eastAsia="Calibri" w:hAnsi="Calibri"/>
                <w:b/>
                <w:bCs/>
                <w:color w:val="1F2937"/>
                <w:sz w:val="20"/>
                <w:szCs w:val="20"/>
              </w:rPr>
              <w:t xml:space="preserve">✅ Publié</w:t>
            </w:r>
          </w:p>
        </w:tc>
        <w:tc>
          <w:tcPr>
            <w:shd w:fill="EEF2F7" w:color="EEF2F7" w:val="solid"/>
            <w:tcMar>
              <w:top w:type="dxa" w:w="60"/>
              <w:left w:type="dxa" w:w="80"/>
              <w:bottom w:type="dxa" w:w="60"/>
              <w:right w:type="dxa" w:w="80"/>
            </w:tcMar>
            <w:vAlign w:val="center"/>
          </w:tcPr>
          <w:p>
            <w:pPr>
              <w:jc w:val="left"/>
            </w:pPr>
            <w:r>
              <w:rPr>
                <w:rFonts w:ascii="Calibri" w:cs="Calibri" w:eastAsia="Calibri" w:hAnsi="Calibri"/>
                <w:b w:val="false"/>
                <w:bCs w:val="false"/>
                <w:color w:val="1F2937"/>
                <w:sz w:val="20"/>
                <w:szCs w:val="20"/>
              </w:rPr>
              <w:t xml:space="preserve">13 mai 2026 (Legifrance)</w:t>
            </w:r>
          </w:p>
        </w:tc>
      </w:tr>
      <w:tr>
        <w:tc>
          <w:tcPr>
            <w:tcMar>
              <w:top w:type="dxa" w:w="60"/>
              <w:left w:type="dxa" w:w="80"/>
              <w:bottom w:type="dxa" w:w="60"/>
              <w:right w:type="dxa" w:w="80"/>
            </w:tcMar>
            <w:vAlign w:val="center"/>
          </w:tcPr>
          <w:p>
            <w:pPr>
              <w:jc w:val="left"/>
            </w:pPr>
            <w:r>
              <w:rPr>
                <w:rFonts w:ascii="Calibri" w:cs="Calibri" w:eastAsia="Calibri" w:hAnsi="Calibri"/>
                <w:b w:val="false"/>
                <w:bCs w:val="false"/>
                <w:color w:val="1F2937"/>
                <w:sz w:val="20"/>
                <w:szCs w:val="20"/>
              </w:rPr>
              <w:t xml:space="preserve">Simulations financières par ESMS</w:t>
            </w:r>
          </w:p>
        </w:tc>
        <w:tc>
          <w:tcPr>
            <w:tcMar>
              <w:top w:type="dxa" w:w="60"/>
              <w:left w:type="dxa" w:w="80"/>
              <w:bottom w:type="dxa" w:w="60"/>
              <w:right w:type="dxa" w:w="80"/>
            </w:tcMar>
            <w:vAlign w:val="center"/>
          </w:tcPr>
          <w:p>
            <w:pPr>
              <w:jc w:val="left"/>
            </w:pPr>
            <w:r>
              <w:rPr>
                <w:rFonts w:ascii="Calibri" w:cs="Calibri" w:eastAsia="Calibri" w:hAnsi="Calibri"/>
                <w:b/>
                <w:bCs/>
                <w:color w:val="1F2937"/>
                <w:sz w:val="20"/>
                <w:szCs w:val="20"/>
              </w:rPr>
              <w:t xml:space="preserve">⏳ En cours</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1F2937"/>
                <w:sz w:val="20"/>
                <w:szCs w:val="20"/>
              </w:rPr>
              <w:t xml:space="preserve">2e semestre 2026</w:t>
            </w:r>
          </w:p>
        </w:tc>
      </w:tr>
      <w:tr>
        <w:tc>
          <w:tcPr>
            <w:shd w:fill="EEF2F7" w:color="EEF2F7" w:val="solid"/>
            <w:tcMar>
              <w:top w:type="dxa" w:w="60"/>
              <w:left w:type="dxa" w:w="80"/>
              <w:bottom w:type="dxa" w:w="60"/>
              <w:right w:type="dxa" w:w="80"/>
            </w:tcMar>
            <w:vAlign w:val="center"/>
          </w:tcPr>
          <w:p>
            <w:pPr>
              <w:jc w:val="left"/>
            </w:pPr>
            <w:r>
              <w:rPr>
                <w:rFonts w:ascii="Calibri" w:cs="Calibri" w:eastAsia="Calibri" w:hAnsi="Calibri"/>
                <w:b w:val="false"/>
                <w:bCs w:val="false"/>
                <w:color w:val="1F2937"/>
                <w:sz w:val="20"/>
                <w:szCs w:val="20"/>
              </w:rPr>
              <w:t xml:space="preserve">Webinaires / formations ARS</w:t>
            </w:r>
          </w:p>
        </w:tc>
        <w:tc>
          <w:tcPr>
            <w:shd w:fill="EEF2F7" w:color="EEF2F7" w:val="solid"/>
            <w:tcMar>
              <w:top w:type="dxa" w:w="60"/>
              <w:left w:type="dxa" w:w="80"/>
              <w:bottom w:type="dxa" w:w="60"/>
              <w:right w:type="dxa" w:w="80"/>
            </w:tcMar>
            <w:vAlign w:val="center"/>
          </w:tcPr>
          <w:p>
            <w:pPr>
              <w:jc w:val="left"/>
            </w:pPr>
            <w:r>
              <w:rPr>
                <w:rFonts w:ascii="Calibri" w:cs="Calibri" w:eastAsia="Calibri" w:hAnsi="Calibri"/>
                <w:b/>
                <w:bCs/>
                <w:color w:val="1F2937"/>
                <w:sz w:val="20"/>
                <w:szCs w:val="20"/>
              </w:rPr>
              <w:t xml:space="preserve">⏳ Planifiés</w:t>
            </w:r>
          </w:p>
        </w:tc>
        <w:tc>
          <w:tcPr>
            <w:shd w:fill="EEF2F7" w:color="EEF2F7" w:val="solid"/>
            <w:tcMar>
              <w:top w:type="dxa" w:w="60"/>
              <w:left w:type="dxa" w:w="80"/>
              <w:bottom w:type="dxa" w:w="60"/>
              <w:right w:type="dxa" w:w="80"/>
            </w:tcMar>
            <w:vAlign w:val="center"/>
          </w:tcPr>
          <w:p>
            <w:pPr>
              <w:jc w:val="left"/>
            </w:pPr>
            <w:r>
              <w:rPr>
                <w:rFonts w:ascii="Calibri" w:cs="Calibri" w:eastAsia="Calibri" w:hAnsi="Calibri"/>
                <w:b w:val="false"/>
                <w:bCs w:val="false"/>
                <w:color w:val="1F2937"/>
                <w:sz w:val="20"/>
                <w:szCs w:val="20"/>
              </w:rPr>
              <w:t xml:space="preserve">2e semestre 2026</w:t>
            </w:r>
          </w:p>
        </w:tc>
      </w:tr>
    </w:tbl>
    <w:p>
      <w:pPr>
        <w:spacing w:after="60" w:before="60"/>
      </w:pPr>
      <w:r>
        <w:rPr>
          <w:rFonts w:ascii="Calibri" w:cs="Calibri" w:eastAsia="Calibri" w:hAnsi="Calibri"/>
          <w:sz w:val="22"/>
          <w:szCs w:val="22"/>
        </w:rPr>
        <w:t xml:space="preserve"/>
      </w:r>
    </w:p>
    <w:p>
      <w:pPr>
        <w:pBdr>
          <w:bottom w:val="single" w:color="1B3A6B" w:sz="6"/>
        </w:pBdr>
        <w:spacing w:after="120" w:before="240"/>
      </w:pPr>
      <w:r>
        <w:rPr>
          <w:rFonts w:ascii="Calibri" w:cs="Calibri" w:eastAsia="Calibri" w:hAnsi="Calibri"/>
          <w:b/>
          <w:bCs/>
          <w:color w:val="1B3A6B"/>
          <w:sz w:val="28"/>
          <w:szCs w:val="28"/>
        </w:rPr>
        <w:t xml:space="preserve">📰 Actualités de la semaine (29/07–05/08/2026)</w:t>
      </w:r>
    </w:p>
    <w:p>
      <w:pPr>
        <w:spacing w:after="80" w:before="80"/>
      </w:pPr>
      <w:r>
        <w:rPr>
          <w:rFonts w:ascii="Calibri" w:cs="Calibri" w:eastAsia="Calibri" w:hAnsi="Calibri"/>
          <w:b/>
          <w:bCs/>
          <w:color w:val="16A34A"/>
          <w:sz w:val="22"/>
          <w:szCs w:val="22"/>
        </w:rPr>
        <w:t xml:space="preserve">🟢 Semaine creuse — Aucune nouveauté publiée dans la fenêtre du 29 juillet au 5 août 2026.</w:t>
      </w:r>
    </w:p>
    <w:p>
      <w:pPr>
        <w:spacing w:after="60" w:before="60"/>
      </w:pPr>
      <w:r>
        <w:rPr>
          <w:rFonts w:ascii="Calibri" w:cs="Calibri" w:eastAsia="Calibri" w:hAnsi="Calibri"/>
          <w:color w:val="1F2937"/>
          <w:sz w:val="22"/>
          <w:szCs w:val="22"/>
        </w:rPr>
        <w:t xml:space="preserve">Les sources consultées (handicap.gouv.fr, </w:t>
      </w:r>
      <w:hyperlink w:history="1" r:id="rIdcnsa_page2026">
        <w:r>
          <w:rPr>
            <w:rFonts w:ascii="Calibri" w:cs="Calibri" w:eastAsia="Calibri" w:hAnsi="Calibri"/>
            <w:sz w:val="22"/>
            <w:szCs w:val="22"/>
            <w:color w:val="1155CC"/>
            <w:u w:val="single"/>
          </w:rPr>
          <w:t xml:space="preserve">cnsa.fr</w:t>
        </w:r>
      </w:hyperlink>
      <w:r>
        <w:rPr>
          <w:rFonts w:ascii="Calibri" w:cs="Calibri" w:eastAsia="Calibri" w:hAnsi="Calibri"/>
          <w:color w:val="1F2937"/>
          <w:sz w:val="22"/>
          <w:szCs w:val="22"/>
        </w:rPr>
        <w:t xml:space="preserve">) n'affichent aucune publication nouvelle datée dans cette fenêtre. La dernière publication majeure récupérée est la 14e réunion du comité stratégique (27/03/2026). L'ATIH n'a pas pu être lue (⛔).</w:t>
      </w:r>
    </w:p>
    <w:p>
      <w:pPr>
        <w:spacing w:after="60" w:before="60"/>
      </w:pPr>
      <w:r>
        <w:rPr>
          <w:rFonts w:ascii="Calibri" w:cs="Calibri" w:eastAsia="Calibri" w:hAnsi="Calibri"/>
          <w:color w:val="1F2937"/>
          <w:sz w:val="22"/>
          <w:szCs w:val="22"/>
        </w:rPr>
        <w:t xml:space="preserve">Conformément à la règle de veille : une semaine honnêtement vide vaut mieux qu'une semaine faussement fournie.</w:t>
      </w:r>
    </w:p>
    <w:p>
      <w:pPr>
        <w:spacing w:after="60" w:before="60"/>
      </w:pPr>
      <w:r>
        <w:rPr>
          <w:rFonts w:ascii="Calibri" w:cs="Calibri" w:eastAsia="Calibri" w:hAnsi="Calibri"/>
          <w:sz w:val="22"/>
          <w:szCs w:val="22"/>
        </w:rPr>
        <w:t xml:space="preserve"/>
      </w:r>
    </w:p>
    <w:p>
      <w:pPr>
        <w:pBdr>
          <w:bottom w:val="single" w:color="1B3A6B" w:sz="6"/>
        </w:pBdr>
        <w:spacing w:after="120" w:before="240"/>
      </w:pPr>
      <w:r>
        <w:rPr>
          <w:rFonts w:ascii="Calibri" w:cs="Calibri" w:eastAsia="Calibri" w:hAnsi="Calibri"/>
          <w:b/>
          <w:bCs/>
          <w:color w:val="1B3A6B"/>
          <w:sz w:val="28"/>
          <w:szCs w:val="28"/>
        </w:rPr>
        <w:t xml:space="preserve">🔄 Rappel / Contexte — Éléments de fond (hors fenêtre, à retenir)</w:t>
      </w:r>
    </w:p>
    <w:p>
      <w:pPr>
        <w:spacing w:after="60" w:before="60"/>
      </w:pPr>
      <w:r>
        <w:rPr>
          <w:rFonts w:ascii="Calibri" w:cs="Calibri" w:eastAsia="Calibri" w:hAnsi="Calibri"/>
          <w:color w:val="1F2937"/>
          <w:sz w:val="22"/>
          <w:szCs w:val="22"/>
        </w:rPr>
        <w:t xml:space="preserve">Ces éléments sont issus des sources consultées mais datent d'avant le 29/07/2026. Ils ne constituent pas des « nouveautés de la semaine » mais restent structurants pour la direction.</w:t>
      </w:r>
    </w:p>
    <w:p>
      <w:pPr>
        <w:spacing w:after="60" w:before="60"/>
      </w:pPr>
      <w:r>
        <w:rPr>
          <w:rFonts w:ascii="Calibri" w:cs="Calibri" w:eastAsia="Calibri" w:hAnsi="Calibri"/>
          <w:sz w:val="22"/>
          <w:szCs w:val="22"/>
        </w:rPr>
        <w:t xml:space="preserve"/>
      </w:r>
    </w:p>
    <w:p>
      <w:pPr>
        <w:spacing w:after="80" w:before="200"/>
      </w:pPr>
      <w:r>
        <w:rPr>
          <w:rFonts w:ascii="Calibri" w:cs="Calibri" w:eastAsia="Calibri" w:hAnsi="Calibri"/>
          <w:b/>
          <w:bCs/>
          <w:color w:val="1B3A6B"/>
          <w:sz w:val="24"/>
          <w:szCs w:val="24"/>
        </w:rPr>
        <w:t xml:space="preserve">14e réunion du comité stratégique — 27 mars 2026</w:t>
      </w:r>
    </w:p>
    <w:p>
      <w:pPr>
        <w:pStyle w:val="ListParagraph"/>
        <w:numPr>
          <w:ilvl w:val="0"/>
          <w:numId w:val="1"/>
        </w:numPr>
        <w:spacing w:after="40" w:before="40"/>
      </w:pPr>
      <w:r>
        <w:rPr>
          <w:rFonts w:ascii="Calibri" w:cs="Calibri" w:eastAsia="Calibri" w:hAnsi="Calibri"/>
          <w:color w:val="1F2937"/>
          <w:sz w:val="22"/>
          <w:szCs w:val="22"/>
        </w:rPr>
        <w:t xml:space="preserve">Décision confirmée : déploiement opérationnel de la réforme tarifaire au 1er janvier 2027 pour les ESMS accompagnant des enfants handicapés.</w:t>
      </w:r>
    </w:p>
    <w:p>
      <w:pPr>
        <w:pStyle w:val="ListParagraph"/>
        <w:numPr>
          <w:ilvl w:val="0"/>
          <w:numId w:val="1"/>
        </w:numPr>
        <w:spacing w:after="40" w:before="40"/>
      </w:pPr>
      <w:r>
        <w:rPr>
          <w:rFonts w:ascii="Calibri" w:cs="Calibri" w:eastAsia="Calibri" w:hAnsi="Calibri"/>
          <w:color w:val="1F2937"/>
          <w:sz w:val="22"/>
          <w:szCs w:val="22"/>
        </w:rPr>
        <w:t xml:space="preserve">Ministre présidant : Camille Galliard-Minier.</w:t>
      </w:r>
    </w:p>
    <w:p>
      <w:pPr>
        <w:pStyle w:val="ListParagraph"/>
        <w:numPr>
          <w:ilvl w:val="0"/>
          <w:numId w:val="1"/>
        </w:numPr>
        <w:spacing w:after="40" w:before="40"/>
      </w:pPr>
      <w:r>
        <w:rPr>
          <w:rFonts w:ascii="Calibri" w:cs="Calibri" w:eastAsia="Calibri" w:hAnsi="Calibri"/>
          <w:color w:val="1F2937"/>
          <w:sz w:val="22"/>
          <w:szCs w:val="22"/>
        </w:rPr>
        <w:t xml:space="preserve">Priorités 2026 : finalisation des paramètres du modèle, envoi de simulations financières à chaque ESMS concerné, déploiement de webinaires et réunions régionales d'accompagnement.</w:t>
      </w:r>
    </w:p>
    <w:p>
      <w:pPr>
        <w:pStyle w:val="ListParagraph"/>
        <w:numPr>
          <w:ilvl w:val="0"/>
          <w:numId w:val="1"/>
        </w:numPr>
        <w:spacing w:after="40" w:before="40"/>
      </w:pPr>
      <w:r>
        <w:rPr>
          <w:rFonts w:ascii="Calibri" w:cs="Calibri" w:eastAsia="Calibri" w:hAnsi="Calibri"/>
          <w:color w:val="1F2937"/>
          <w:sz w:val="22"/>
          <w:szCs w:val="22"/>
        </w:rPr>
        <w:t xml:space="preserve">Source : handicap.gouv.fr (publiée 27/03/2026) — URL : https://handicap.gouv.fr/reforme-tarifaire-des-esms-serafin-ph-14e-reunion-du-comite-strategique</w:t>
      </w:r>
    </w:p>
    <w:p>
      <w:pPr>
        <w:spacing w:after="60" w:before="60"/>
      </w:pPr>
      <w:r>
        <w:rPr>
          <w:rFonts w:ascii="Calibri" w:cs="Calibri" w:eastAsia="Calibri" w:hAnsi="Calibri"/>
          <w:sz w:val="22"/>
          <w:szCs w:val="22"/>
        </w:rPr>
        <w:t xml:space="preserve"/>
      </w:r>
    </w:p>
    <w:p>
      <w:pPr>
        <w:spacing w:after="80" w:before="200"/>
      </w:pPr>
      <w:r>
        <w:rPr>
          <w:rFonts w:ascii="Calibri" w:cs="Calibri" w:eastAsia="Calibri" w:hAnsi="Calibri"/>
          <w:b/>
          <w:bCs/>
          <w:color w:val="1B3A6B"/>
          <w:sz w:val="24"/>
          <w:szCs w:val="24"/>
        </w:rPr>
        <w:t xml:space="preserve">Décret du 13 mai 2026 — Modalités de transmission des données</w:t>
      </w:r>
    </w:p>
    <w:p>
      <w:pPr>
        <w:pStyle w:val="ListParagraph"/>
        <w:numPr>
          <w:ilvl w:val="0"/>
          <w:numId w:val="1"/>
        </w:numPr>
        <w:spacing w:after="40" w:before="40"/>
      </w:pPr>
      <w:r>
        <w:rPr>
          <w:rFonts w:ascii="Calibri" w:cs="Calibri" w:eastAsia="Calibri" w:hAnsi="Calibri"/>
          <w:color w:val="1F2937"/>
          <w:sz w:val="22"/>
          <w:szCs w:val="22"/>
        </w:rPr>
        <w:t xml:space="preserve">Décret du 13 mai 2026, publié au Journal officiel le 16 mai 2026 (Légifrance, JORFTEXT000054103861 — </w:t>
      </w:r>
      <w:hyperlink w:history="1" r:id="rIdlegi2026">
        <w:r>
          <w:rPr>
            <w:rFonts w:ascii="Calibri" w:cs="Calibri" w:eastAsia="Calibri" w:hAnsi="Calibri"/>
            <w:sz w:val="22"/>
            <w:szCs w:val="22"/>
            <w:color w:val="1155CC"/>
            <w:u w:val="single"/>
          </w:rPr>
          <w:t xml:space="preserve">legifrance.gouv.fr</w:t>
        </w:r>
      </w:hyperlink>
      <w:r>
        <w:rPr>
          <w:rFonts w:ascii="Calibri" w:cs="Calibri" w:eastAsia="Calibri" w:hAnsi="Calibri"/>
          <w:color w:val="1F2937"/>
          <w:sz w:val="22"/>
          <w:szCs w:val="22"/>
        </w:rPr>
        <w:t xml:space="preserve">, lié le 12/09/2026 ; la note écrivait « publié au Journal officiel le 13 mai », qui est la date de l'acte).</w:t>
      </w:r>
    </w:p>
    <w:p>
      <w:pPr>
        <w:pStyle w:val="ListParagraph"/>
        <w:numPr>
          <w:ilvl w:val="0"/>
          <w:numId w:val="1"/>
        </w:numPr>
        <w:spacing w:after="40" w:before="40"/>
      </w:pPr>
      <w:r>
        <w:rPr>
          <w:rFonts w:ascii="Calibri" w:cs="Calibri" w:eastAsia="Calibri" w:hAnsi="Calibri"/>
          <w:color w:val="1F2937"/>
          <w:sz w:val="22"/>
          <w:szCs w:val="22"/>
        </w:rPr>
        <w:t xml:space="preserve">Précise les modalités de transmission des données nécessaires à la mise en œuvre de la réforme tarifaire.</w:t>
      </w:r>
    </w:p>
    <w:p>
      <w:pPr>
        <w:pStyle w:val="ListParagraph"/>
        <w:numPr>
          <w:ilvl w:val="0"/>
          <w:numId w:val="1"/>
        </w:numPr>
        <w:spacing w:after="40" w:before="40"/>
      </w:pPr>
      <w:r>
        <w:rPr>
          <w:rFonts w:ascii="Calibri" w:cs="Calibri" w:eastAsia="Calibri" w:hAnsi="Calibri"/>
          <w:color w:val="1F2937"/>
          <w:sz w:val="22"/>
          <w:szCs w:val="22"/>
        </w:rPr>
        <w:t xml:space="preserve">Source : CNSA — page principale SERAFIN-PH, </w:t>
      </w:r>
      <w:hyperlink w:history="1" r:id="rIdcnsa_page2026">
        <w:r>
          <w:rPr>
            <w:rFonts w:ascii="Calibri" w:cs="Calibri" w:eastAsia="Calibri" w:hAnsi="Calibri"/>
            <w:sz w:val="22"/>
            <w:szCs w:val="22"/>
            <w:color w:val="1155CC"/>
            <w:u w:val="single"/>
          </w:rPr>
          <w:t xml:space="preserve">cnsa.fr</w:t>
        </w:r>
      </w:hyperlink>
      <w:r>
        <w:rPr>
          <w:rFonts w:ascii="Calibri" w:cs="Calibri" w:eastAsia="Calibri" w:hAnsi="Calibri"/>
          <w:color w:val="1F2937"/>
          <w:sz w:val="22"/>
          <w:szCs w:val="22"/>
        </w:rPr>
        <w:t xml:space="preserve"> (consultée le 05/08/2026). Source primaire : Légifrance, </w:t>
      </w:r>
      <w:hyperlink w:history="1" r:id="rIdlegi2026">
        <w:r>
          <w:rPr>
            <w:rFonts w:ascii="Calibri" w:cs="Calibri" w:eastAsia="Calibri" w:hAnsi="Calibri"/>
            <w:sz w:val="22"/>
            <w:szCs w:val="22"/>
            <w:color w:val="1155CC"/>
            <w:u w:val="single"/>
          </w:rPr>
          <w:t xml:space="preserve">legifrance.gouv.fr</w:t>
        </w:r>
      </w:hyperlink>
      <w:r>
        <w:rPr>
          <w:rFonts w:ascii="Calibri" w:cs="Calibri" w:eastAsia="Calibri" w:hAnsi="Calibri"/>
          <w:color w:val="1F2937"/>
          <w:sz w:val="22"/>
          <w:szCs w:val="22"/>
        </w:rPr>
        <w:t xml:space="preserve"> — URL non testée directement le 05/08, réf. fournie par CNSA (liée le 12/09/2026).</w:t>
      </w:r>
    </w:p>
    <w:p>
      <w:pPr>
        <w:spacing w:after="80" w:before="40"/>
      </w:pPr>
      <w:r>
        <w:rPr>
          <w:rFonts w:ascii="Calibri" w:cs="Calibri" w:eastAsia="Calibri" w:hAnsi="Calibri"/>
          <w:i/>
          <w:iCs/>
          <w:color w:val="D97706"/>
          <w:sz w:val="20"/>
          <w:szCs w:val="20"/>
        </w:rPr>
        <w:t xml:space="preserve">⚠️ Note : le décret est cité par la CNSA — source secondaire confirmant l'existence du texte ; le document Légifrance n'a pas été consulté directement pendant cette exécution (lié le 12/09/2026).</w:t>
      </w:r>
    </w:p>
    <w:p>
      <w:pPr>
        <w:spacing w:after="80" w:before="200"/>
      </w:pPr>
      <w:r>
        <w:rPr>
          <w:rFonts w:ascii="Calibri" w:cs="Calibri" w:eastAsia="Calibri" w:hAnsi="Calibri"/>
          <w:b/>
          <w:bCs/>
          <w:color w:val="1B3A6B"/>
          <w:sz w:val="24"/>
          <w:szCs w:val="24"/>
        </w:rPr>
        <w:t xml:space="preserve">Recueil de données PH 2026 — Clôturé début juillet 2026</w:t>
      </w:r>
    </w:p>
    <w:p>
      <w:pPr>
        <w:pStyle w:val="ListParagraph"/>
        <w:numPr>
          <w:ilvl w:val="0"/>
          <w:numId w:val="1"/>
        </w:numPr>
        <w:spacing w:after="40" w:before="40"/>
      </w:pPr>
      <w:r>
        <w:rPr>
          <w:rFonts w:ascii="Calibri" w:cs="Calibri" w:eastAsia="Calibri" w:hAnsi="Calibri"/>
          <w:color w:val="1F2937"/>
          <w:sz w:val="22"/>
          <w:szCs w:val="22"/>
        </w:rPr>
        <w:t xml:space="preserve">Taux de participation : 88 % des ESMS répondants, représentant 90 % des solutions installées.</w:t>
      </w:r>
    </w:p>
    <w:p>
      <w:pPr>
        <w:pStyle w:val="ListParagraph"/>
        <w:numPr>
          <w:ilvl w:val="0"/>
          <w:numId w:val="1"/>
        </w:numPr>
        <w:spacing w:after="40" w:before="40"/>
      </w:pPr>
      <w:r>
        <w:rPr>
          <w:rFonts w:ascii="Calibri" w:cs="Calibri" w:eastAsia="Calibri" w:hAnsi="Calibri"/>
          <w:color w:val="1F2937"/>
          <w:sz w:val="22"/>
          <w:szCs w:val="22"/>
        </w:rPr>
        <w:t xml:space="preserve">Collecte réalisée via l'application SERAFIN-PH dans le système d'information SIDOBA (CNSA).</w:t>
      </w:r>
    </w:p>
    <w:p>
      <w:pPr>
        <w:pStyle w:val="ListParagraph"/>
        <w:numPr>
          <w:ilvl w:val="0"/>
          <w:numId w:val="1"/>
        </w:numPr>
        <w:spacing w:after="40" w:before="40"/>
      </w:pPr>
      <w:r>
        <w:rPr>
          <w:rFonts w:ascii="Calibri" w:cs="Calibri" w:eastAsia="Calibri" w:hAnsi="Calibri"/>
          <w:color w:val="1F2937"/>
          <w:sz w:val="22"/>
          <w:szCs w:val="22"/>
        </w:rPr>
        <w:t xml:space="preserve">Portée : environ 40 variables ciblées, sans détails sur accompagnements individuels ni modalités de transport quotidien.</w:t>
      </w:r>
    </w:p>
    <w:p>
      <w:pPr>
        <w:pStyle w:val="ListParagraph"/>
        <w:numPr>
          <w:ilvl w:val="0"/>
          <w:numId w:val="1"/>
        </w:numPr>
        <w:spacing w:after="40" w:before="40"/>
      </w:pPr>
      <w:r>
        <w:rPr>
          <w:rFonts w:ascii="Calibri" w:cs="Calibri" w:eastAsia="Calibri" w:hAnsi="Calibri"/>
          <w:color w:val="1F2937"/>
          <w:sz w:val="22"/>
          <w:szCs w:val="22"/>
        </w:rPr>
        <w:t xml:space="preserve">Source : CNSA — page principale SERAFIN-PH, </w:t>
      </w:r>
      <w:hyperlink w:history="1" r:id="rIdcnsa_page2026">
        <w:r>
          <w:rPr>
            <w:rFonts w:ascii="Calibri" w:cs="Calibri" w:eastAsia="Calibri" w:hAnsi="Calibri"/>
            <w:sz w:val="22"/>
            <w:szCs w:val="22"/>
            <w:color w:val="1155CC"/>
            <w:u w:val="single"/>
          </w:rPr>
          <w:t xml:space="preserve">cnsa.fr</w:t>
        </w:r>
      </w:hyperlink>
      <w:r>
        <w:rPr>
          <w:rFonts w:ascii="Calibri" w:cs="Calibri" w:eastAsia="Calibri" w:hAnsi="Calibri"/>
          <w:color w:val="1F2937"/>
          <w:sz w:val="22"/>
          <w:szCs w:val="22"/>
        </w:rPr>
        <w:t xml:space="preserve"> (consultée le 05/08/2026).</w:t>
      </w:r>
    </w:p>
    <w:p>
      <w:pPr>
        <w:spacing w:after="80" w:before="40"/>
      </w:pPr>
      <w:r>
        <w:rPr>
          <w:rFonts w:ascii="Calibri" w:cs="Calibri" w:eastAsia="Calibri" w:hAnsi="Calibri"/>
          <w:i/>
          <w:iCs/>
          <w:color w:val="D97706"/>
          <w:sz w:val="20"/>
          <w:szCs w:val="20"/>
        </w:rPr>
        <w:t xml:space="preserve">⚠️ La date exacte de clôture (« début juillet 2026 ») est mentionnée sur la page CNSA mais sans précision de jour. Elle est reprise telle quelle.</w:t>
      </w:r>
    </w:p>
    <w:p>
      <w:pPr>
        <w:spacing w:after="60" w:before="60"/>
      </w:pPr>
      <w:r>
        <w:rPr>
          <w:rFonts w:ascii="Calibri" w:cs="Calibri" w:eastAsia="Calibri" w:hAnsi="Calibri"/>
          <w:sz w:val="22"/>
          <w:szCs w:val="22"/>
        </w:rPr>
        <w:t xml:space="preserve"/>
      </w:r>
    </w:p>
    <w:p>
      <w:pPr>
        <w:pBdr>
          <w:bottom w:val="single" w:color="1B3A6B" w:sz="6"/>
        </w:pBdr>
        <w:spacing w:after="120" w:before="240"/>
      </w:pPr>
      <w:r>
        <w:rPr>
          <w:rFonts w:ascii="Calibri" w:cs="Calibri" w:eastAsia="Calibri" w:hAnsi="Calibri"/>
          <w:b/>
          <w:bCs/>
          <w:color w:val="1B3A6B"/>
          <w:sz w:val="28"/>
          <w:szCs w:val="28"/>
        </w:rPr>
        <w:t xml:space="preserve">⚠️ Points de vigilance pour les directions d'ESSMS</w:t>
      </w:r>
    </w:p>
    <w:p>
      <w:pPr>
        <w:spacing w:after="60" w:before="60"/>
      </w:pPr>
      <w:r>
        <w:rPr>
          <w:rFonts w:ascii="Calibri" w:cs="Calibri" w:eastAsia="Calibri" w:hAnsi="Calibri"/>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5%"/>
            <w:shd w:fill="1B3A6B" w:color="1B3A6B" w:val="solid"/>
            <w:vAlign w:val="center"/>
          </w:tcPr>
          <w:p>
            <w:pPr>
              <w:jc w:val="center"/>
            </w:pPr>
            <w:r>
              <w:rPr>
                <w:rFonts w:ascii="Calibri" w:cs="Calibri" w:eastAsia="Calibri" w:hAnsi="Calibri"/>
                <w:b/>
                <w:bCs/>
                <w:color w:val="FFFFFF"/>
                <w:sz w:val="20"/>
                <w:szCs w:val="20"/>
              </w:rPr>
              <w:t xml:space="preserve">⚠️ Point de vigilance</w:t>
            </w:r>
          </w:p>
        </w:tc>
        <w:tc>
          <w:tcPr>
            <w:tcW w:type="pct" w:w="65%"/>
            <w:shd w:fill="1B3A6B" w:color="1B3A6B" w:val="solid"/>
            <w:vAlign w:val="center"/>
          </w:tcPr>
          <w:p>
            <w:pPr>
              <w:jc w:val="center"/>
            </w:pPr>
            <w:r>
              <w:rPr>
                <w:rFonts w:ascii="Calibri" w:cs="Calibri" w:eastAsia="Calibri" w:hAnsi="Calibri"/>
                <w:b/>
                <w:bCs/>
                <w:color w:val="FFFFFF"/>
                <w:sz w:val="20"/>
                <w:szCs w:val="20"/>
              </w:rPr>
              <w:t xml:space="preserve">Détail pratique</w:t>
            </w:r>
          </w:p>
        </w:tc>
      </w:tr>
      <w:tr>
        <w:tc>
          <w:tcPr>
            <w:tcMar>
              <w:top w:type="dxa" w:w="60"/>
              <w:left w:type="dxa" w:w="80"/>
              <w:bottom w:type="dxa" w:w="60"/>
              <w:right w:type="dxa" w:w="80"/>
            </w:tcMar>
            <w:vAlign w:val="center"/>
          </w:tcPr>
          <w:p>
            <w:pPr>
              <w:jc w:val="left"/>
            </w:pPr>
            <w:r>
              <w:rPr>
                <w:rFonts w:ascii="Calibri" w:cs="Calibri" w:eastAsia="Calibri" w:hAnsi="Calibri"/>
                <w:b/>
                <w:bCs/>
                <w:color w:val="1F2937"/>
                <w:sz w:val="20"/>
                <w:szCs w:val="20"/>
              </w:rPr>
              <w:t xml:space="preserve">Simulations financières à venir</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1F2937"/>
                <w:sz w:val="20"/>
                <w:szCs w:val="20"/>
              </w:rPr>
              <w:t xml:space="preserve">Chaque ESMS concerné (enfance) recevra une simulation de l'impact de la réforme sur son financement. Les directions doivent anticiper une analyse interne et préparer des échanges avec l'ARS.</w:t>
            </w:r>
          </w:p>
        </w:tc>
      </w:tr>
      <w:tr>
        <w:tc>
          <w:tcPr>
            <w:shd w:fill="EEF2F7" w:color="EEF2F7" w:val="solid"/>
            <w:tcMar>
              <w:top w:type="dxa" w:w="60"/>
              <w:left w:type="dxa" w:w="80"/>
              <w:bottom w:type="dxa" w:w="60"/>
              <w:right w:type="dxa" w:w="80"/>
            </w:tcMar>
            <w:vAlign w:val="center"/>
          </w:tcPr>
          <w:p>
            <w:pPr>
              <w:jc w:val="left"/>
            </w:pPr>
            <w:r>
              <w:rPr>
                <w:rFonts w:ascii="Calibri" w:cs="Calibri" w:eastAsia="Calibri" w:hAnsi="Calibri"/>
                <w:b/>
                <w:bCs/>
                <w:color w:val="1F2937"/>
                <w:sz w:val="20"/>
                <w:szCs w:val="20"/>
              </w:rPr>
              <w:t xml:space="preserve">Convergence sur 8 ans dès 2027</w:t>
            </w:r>
          </w:p>
        </w:tc>
        <w:tc>
          <w:tcPr>
            <w:shd w:fill="EEF2F7" w:color="EEF2F7" w:val="solid"/>
            <w:tcMar>
              <w:top w:type="dxa" w:w="60"/>
              <w:left w:type="dxa" w:w="80"/>
              <w:bottom w:type="dxa" w:w="60"/>
              <w:right w:type="dxa" w:w="80"/>
            </w:tcMar>
            <w:vAlign w:val="center"/>
          </w:tcPr>
          <w:p>
            <w:pPr>
              <w:jc w:val="left"/>
            </w:pPr>
            <w:r>
              <w:rPr>
                <w:rFonts w:ascii="Calibri" w:cs="Calibri" w:eastAsia="Calibri" w:hAnsi="Calibri"/>
                <w:b w:val="false"/>
                <w:bCs w:val="false"/>
                <w:color w:val="1F2937"/>
                <w:sz w:val="20"/>
                <w:szCs w:val="20"/>
              </w:rPr>
              <w:t xml:space="preserve">Le modèle se déploie en convergence progressive (8 ans). Prévoir un suivi annuel de l'impact budgétaire sur la période 2027–2034. Tout gel de dépenses ou investissement lourd sur cette période doit intégrer l'incertitude tarifaire.</w:t>
            </w:r>
          </w:p>
        </w:tc>
      </w:tr>
      <w:tr>
        <w:tc>
          <w:tcPr>
            <w:tcMar>
              <w:top w:type="dxa" w:w="60"/>
              <w:left w:type="dxa" w:w="80"/>
              <w:bottom w:type="dxa" w:w="60"/>
              <w:right w:type="dxa" w:w="80"/>
            </w:tcMar>
            <w:vAlign w:val="center"/>
          </w:tcPr>
          <w:p>
            <w:pPr>
              <w:jc w:val="left"/>
            </w:pPr>
            <w:r>
              <w:rPr>
                <w:rFonts w:ascii="Calibri" w:cs="Calibri" w:eastAsia="Calibri" w:hAnsi="Calibri"/>
                <w:b/>
                <w:bCs/>
                <w:color w:val="1F2937"/>
                <w:sz w:val="20"/>
                <w:szCs w:val="20"/>
              </w:rPr>
              <w:t xml:space="preserve">Recueil de données SIDOBA — qualité des données</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1F2937"/>
                <w:sz w:val="20"/>
                <w:szCs w:val="20"/>
              </w:rPr>
              <w:t xml:space="preserve">Le recueil PH 2026 a mobilisé 88 % des ESMS enfance. Les 12 % non-répondants risquent une allocation par défaut. Vérifier que vos déclarations ont bien été transmises et validées dans l'application SIDOBA.</w:t>
            </w:r>
          </w:p>
        </w:tc>
      </w:tr>
      <w:tr>
        <w:tc>
          <w:tcPr>
            <w:shd w:fill="EEF2F7" w:color="EEF2F7" w:val="solid"/>
            <w:tcMar>
              <w:top w:type="dxa" w:w="60"/>
              <w:left w:type="dxa" w:w="80"/>
              <w:bottom w:type="dxa" w:w="60"/>
              <w:right w:type="dxa" w:w="80"/>
            </w:tcMar>
            <w:vAlign w:val="center"/>
          </w:tcPr>
          <w:p>
            <w:pPr>
              <w:jc w:val="left"/>
            </w:pPr>
            <w:r>
              <w:rPr>
                <w:rFonts w:ascii="Calibri" w:cs="Calibri" w:eastAsia="Calibri" w:hAnsi="Calibri"/>
                <w:b/>
                <w:bCs/>
                <w:color w:val="1F2937"/>
                <w:sz w:val="20"/>
                <w:szCs w:val="20"/>
              </w:rPr>
              <w:t xml:space="preserve">Décret du 13 mai 2026 — conformité</w:t>
            </w:r>
          </w:p>
        </w:tc>
        <w:tc>
          <w:tcPr>
            <w:shd w:fill="EEF2F7" w:color="EEF2F7" w:val="solid"/>
            <w:tcMar>
              <w:top w:type="dxa" w:w="60"/>
              <w:left w:type="dxa" w:w="80"/>
              <w:bottom w:type="dxa" w:w="60"/>
              <w:right w:type="dxa" w:w="80"/>
            </w:tcMar>
            <w:vAlign w:val="center"/>
          </w:tcPr>
          <w:p>
            <w:pPr>
              <w:jc w:val="left"/>
            </w:pPr>
            <w:r>
              <w:rPr>
                <w:rFonts w:ascii="Calibri" w:cs="Calibri" w:eastAsia="Calibri" w:hAnsi="Calibri"/>
                <w:b w:val="false"/>
                <w:bCs w:val="false"/>
                <w:color w:val="1F2937"/>
                <w:sz w:val="20"/>
                <w:szCs w:val="20"/>
              </w:rPr>
              <w:t xml:space="preserve">Le décret précise les modalités de transmission des données nécessaires à la mise en œuvre de la réforme. Les directions doivent s'assurer que leurs processus documentaires et de reporting sont conformes avant le 1er janvier 2027.</w:t>
            </w:r>
          </w:p>
        </w:tc>
      </w:tr>
      <w:tr>
        <w:tc>
          <w:tcPr>
            <w:tcMar>
              <w:top w:type="dxa" w:w="60"/>
              <w:left w:type="dxa" w:w="80"/>
              <w:bottom w:type="dxa" w:w="60"/>
              <w:right w:type="dxa" w:w="80"/>
            </w:tcMar>
            <w:vAlign w:val="center"/>
          </w:tcPr>
          <w:p>
            <w:pPr>
              <w:jc w:val="left"/>
            </w:pPr>
            <w:r>
              <w:rPr>
                <w:rFonts w:ascii="Calibri" w:cs="Calibri" w:eastAsia="Calibri" w:hAnsi="Calibri"/>
                <w:b/>
                <w:bCs/>
                <w:color w:val="1F2937"/>
                <w:sz w:val="20"/>
                <w:szCs w:val="20"/>
              </w:rPr>
              <w:t xml:space="preserve">Accompagnement ARS — webinaires et réunions régionales</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1F2937"/>
                <w:sz w:val="20"/>
                <w:szCs w:val="20"/>
              </w:rPr>
              <w:t xml:space="preserve">Des webinaires et réunions régionales de soutien sont planifiés pour le 2e semestre 2026. Anticiper la participation des cadres concernés et intégrer ces dates dans le plan de formation/information.</w:t>
            </w:r>
          </w:p>
        </w:tc>
      </w:tr>
    </w:tbl>
    <w:p>
      <w:pPr>
        <w:spacing w:after="60" w:before="60"/>
      </w:pPr>
      <w:r>
        <w:rPr>
          <w:rFonts w:ascii="Calibri" w:cs="Calibri" w:eastAsia="Calibri" w:hAnsi="Calibri"/>
          <w:sz w:val="22"/>
          <w:szCs w:val="22"/>
        </w:rPr>
        <w:t xml:space="preserve"/>
      </w:r>
    </w:p>
    <w:p>
      <w:pPr>
        <w:pBdr>
          <w:bottom w:val="single" w:color="1B3A6B" w:sz="6"/>
        </w:pBdr>
        <w:spacing w:after="120" w:before="240"/>
      </w:pPr>
      <w:r>
        <w:rPr>
          <w:rFonts w:ascii="Calibri" w:cs="Calibri" w:eastAsia="Calibri" w:hAnsi="Calibri"/>
          <w:b/>
          <w:bCs/>
          <w:color w:val="1B3A6B"/>
          <w:sz w:val="28"/>
          <w:szCs w:val="28"/>
        </w:rPr>
        <w:t xml:space="preserve">📅 Agenda — Prochains rendez-vous SERAFIN-PH</w:t>
      </w:r>
    </w:p>
    <w:p>
      <w:pPr>
        <w:spacing w:after="60" w:before="60"/>
      </w:pPr>
      <w:r>
        <w:rPr>
          <w:rFonts w:ascii="Calibri" w:cs="Calibri" w:eastAsia="Calibri" w:hAnsi="Calibri"/>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shd w:fill="1B3A6B" w:color="1B3A6B" w:val="solid"/>
            <w:vAlign w:val="center"/>
          </w:tcPr>
          <w:p>
            <w:pPr>
              <w:jc w:val="center"/>
            </w:pPr>
            <w:r>
              <w:rPr>
                <w:rFonts w:ascii="Calibri" w:cs="Calibri" w:eastAsia="Calibri" w:hAnsi="Calibri"/>
                <w:b/>
                <w:bCs/>
                <w:color w:val="FFFFFF"/>
                <w:sz w:val="20"/>
                <w:szCs w:val="20"/>
              </w:rPr>
              <w:t xml:space="preserve">Échéance</w:t>
            </w:r>
          </w:p>
        </w:tc>
        <w:tc>
          <w:tcPr>
            <w:tcW w:type="pct" w:w="75%"/>
            <w:shd w:fill="1B3A6B" w:color="1B3A6B" w:val="solid"/>
            <w:vAlign w:val="center"/>
          </w:tcPr>
          <w:p>
            <w:pPr>
              <w:jc w:val="center"/>
            </w:pPr>
            <w:r>
              <w:rPr>
                <w:rFonts w:ascii="Calibri" w:cs="Calibri" w:eastAsia="Calibri" w:hAnsi="Calibri"/>
                <w:b/>
                <w:bCs/>
                <w:color w:val="FFFFFF"/>
                <w:sz w:val="20"/>
                <w:szCs w:val="20"/>
              </w:rPr>
              <w:t xml:space="preserve">Action / Événement</w:t>
            </w:r>
          </w:p>
        </w:tc>
      </w:tr>
      <w:tr>
        <w:tc>
          <w:tcPr>
            <w:tcMar>
              <w:top w:type="dxa" w:w="60"/>
              <w:left w:type="dxa" w:w="80"/>
              <w:bottom w:type="dxa" w:w="60"/>
              <w:right w:type="dxa" w:w="80"/>
            </w:tcMar>
            <w:vAlign w:val="center"/>
          </w:tcPr>
          <w:p>
            <w:pPr>
              <w:jc w:val="left"/>
            </w:pPr>
            <w:r>
              <w:rPr>
                <w:rFonts w:ascii="Calibri" w:cs="Calibri" w:eastAsia="Calibri" w:hAnsi="Calibri"/>
                <w:b/>
                <w:bCs/>
                <w:color w:val="1F2937"/>
                <w:sz w:val="20"/>
                <w:szCs w:val="20"/>
              </w:rPr>
              <w:t xml:space="preserve">2e semestre 2026</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1F2937"/>
                <w:sz w:val="20"/>
                <w:szCs w:val="20"/>
              </w:rPr>
              <w:t xml:space="preserve">[ ] Simulations financières individuelles par ESMS (CNSA / DGCS)</w:t>
            </w:r>
          </w:p>
        </w:tc>
      </w:tr>
      <w:tr>
        <w:tc>
          <w:tcPr>
            <w:shd w:fill="EEF2F7" w:color="EEF2F7" w:val="solid"/>
            <w:tcMar>
              <w:top w:type="dxa" w:w="60"/>
              <w:left w:type="dxa" w:w="80"/>
              <w:bottom w:type="dxa" w:w="60"/>
              <w:right w:type="dxa" w:w="80"/>
            </w:tcMar>
            <w:vAlign w:val="center"/>
          </w:tcPr>
          <w:p>
            <w:pPr>
              <w:jc w:val="left"/>
            </w:pPr>
            <w:r>
              <w:rPr>
                <w:rFonts w:ascii="Calibri" w:cs="Calibri" w:eastAsia="Calibri" w:hAnsi="Calibri"/>
                <w:b/>
                <w:bCs/>
                <w:color w:val="1F2937"/>
                <w:sz w:val="20"/>
                <w:szCs w:val="20"/>
              </w:rPr>
              <w:t xml:space="preserve">2e semestre 2026</w:t>
            </w:r>
          </w:p>
        </w:tc>
        <w:tc>
          <w:tcPr>
            <w:shd w:fill="EEF2F7" w:color="EEF2F7" w:val="solid"/>
            <w:tcMar>
              <w:top w:type="dxa" w:w="60"/>
              <w:left w:type="dxa" w:w="80"/>
              <w:bottom w:type="dxa" w:w="60"/>
              <w:right w:type="dxa" w:w="80"/>
            </w:tcMar>
            <w:vAlign w:val="center"/>
          </w:tcPr>
          <w:p>
            <w:pPr>
              <w:jc w:val="left"/>
            </w:pPr>
            <w:r>
              <w:rPr>
                <w:rFonts w:ascii="Calibri" w:cs="Calibri" w:eastAsia="Calibri" w:hAnsi="Calibri"/>
                <w:b w:val="false"/>
                <w:bCs w:val="false"/>
                <w:color w:val="1F2937"/>
                <w:sz w:val="20"/>
                <w:szCs w:val="20"/>
              </w:rPr>
              <w:t xml:space="preserve">[ ] Webinaires d'accompagnement ARS — inscrire les cadres concernés</w:t>
            </w:r>
          </w:p>
        </w:tc>
      </w:tr>
      <w:tr>
        <w:tc>
          <w:tcPr>
            <w:tcMar>
              <w:top w:type="dxa" w:w="60"/>
              <w:left w:type="dxa" w:w="80"/>
              <w:bottom w:type="dxa" w:w="60"/>
              <w:right w:type="dxa" w:w="80"/>
            </w:tcMar>
            <w:vAlign w:val="center"/>
          </w:tcPr>
          <w:p>
            <w:pPr>
              <w:jc w:val="left"/>
            </w:pPr>
            <w:r>
              <w:rPr>
                <w:rFonts w:ascii="Calibri" w:cs="Calibri" w:eastAsia="Calibri" w:hAnsi="Calibri"/>
                <w:b/>
                <w:bCs/>
                <w:color w:val="1F2937"/>
                <w:sz w:val="20"/>
                <w:szCs w:val="20"/>
              </w:rPr>
              <w:t xml:space="preserve">31/12/2026</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1F2937"/>
                <w:sz w:val="20"/>
                <w:szCs w:val="20"/>
              </w:rPr>
              <w:t xml:space="preserve">[ ] Date butoir pour finalisation des paramètres du modèle</w:t>
            </w:r>
          </w:p>
        </w:tc>
      </w:tr>
      <w:tr>
        <w:tc>
          <w:tcPr>
            <w:shd w:fill="EEF2F7" w:color="EEF2F7" w:val="solid"/>
            <w:tcMar>
              <w:top w:type="dxa" w:w="60"/>
              <w:left w:type="dxa" w:w="80"/>
              <w:bottom w:type="dxa" w:w="60"/>
              <w:right w:type="dxa" w:w="80"/>
            </w:tcMar>
            <w:vAlign w:val="center"/>
          </w:tcPr>
          <w:p>
            <w:pPr>
              <w:jc w:val="left"/>
            </w:pPr>
            <w:r>
              <w:rPr>
                <w:rFonts w:ascii="Calibri" w:cs="Calibri" w:eastAsia="Calibri" w:hAnsi="Calibri"/>
                <w:b/>
                <w:bCs/>
                <w:color w:val="1F2937"/>
                <w:sz w:val="20"/>
                <w:szCs w:val="20"/>
              </w:rPr>
              <w:t xml:space="preserve">1er janvier 2027</w:t>
            </w:r>
          </w:p>
        </w:tc>
        <w:tc>
          <w:tcPr>
            <w:shd w:fill="EEF2F7" w:color="EEF2F7" w:val="solid"/>
            <w:tcMar>
              <w:top w:type="dxa" w:w="60"/>
              <w:left w:type="dxa" w:w="80"/>
              <w:bottom w:type="dxa" w:w="60"/>
              <w:right w:type="dxa" w:w="80"/>
            </w:tcMar>
            <w:vAlign w:val="center"/>
          </w:tcPr>
          <w:p>
            <w:pPr>
              <w:jc w:val="left"/>
            </w:pPr>
            <w:r>
              <w:rPr>
                <w:rFonts w:ascii="Calibri" w:cs="Calibri" w:eastAsia="Calibri" w:hAnsi="Calibri"/>
                <w:b w:val="false"/>
                <w:bCs w:val="false"/>
                <w:color w:val="1F2937"/>
                <w:sz w:val="20"/>
                <w:szCs w:val="20"/>
              </w:rPr>
              <w:t xml:space="preserve">[ ] Déploiement opérationnel SERAFIN-PH (ESMS enfance)</w:t>
            </w:r>
          </w:p>
        </w:tc>
      </w:tr>
      <w:tr>
        <w:tc>
          <w:tcPr>
            <w:tcMar>
              <w:top w:type="dxa" w:w="60"/>
              <w:left w:type="dxa" w:w="80"/>
              <w:bottom w:type="dxa" w:w="60"/>
              <w:right w:type="dxa" w:w="80"/>
            </w:tcMar>
            <w:vAlign w:val="center"/>
          </w:tcPr>
          <w:p>
            <w:pPr>
              <w:jc w:val="left"/>
            </w:pPr>
            <w:r>
              <w:rPr>
                <w:rFonts w:ascii="Calibri" w:cs="Calibri" w:eastAsia="Calibri" w:hAnsi="Calibri"/>
                <w:b/>
                <w:bCs/>
                <w:color w:val="1F2937"/>
                <w:sz w:val="20"/>
                <w:szCs w:val="20"/>
              </w:rPr>
              <w:t xml:space="preserve">2027–2034</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1F2937"/>
                <w:sz w:val="20"/>
                <w:szCs w:val="20"/>
              </w:rPr>
              <w:t xml:space="preserve">[ ] Période de convergence progressive sur 8 ans</w:t>
            </w:r>
          </w:p>
        </w:tc>
      </w:tr>
    </w:tbl>
    <w:p>
      <w:pPr>
        <w:spacing w:after="60" w:before="60"/>
      </w:pPr>
      <w:r>
        <w:rPr>
          <w:rFonts w:ascii="Calibri" w:cs="Calibri" w:eastAsia="Calibri" w:hAnsi="Calibri"/>
          <w:sz w:val="22"/>
          <w:szCs w:val="22"/>
        </w:rPr>
        <w:t xml:space="preserve"/>
      </w:r>
    </w:p>
    <w:p>
      <w:pPr>
        <w:pBdr>
          <w:bottom w:val="single" w:color="1B3A6B" w:sz="6"/>
        </w:pBdr>
        <w:spacing w:after="120" w:before="240"/>
      </w:pPr>
      <w:r>
        <w:rPr>
          <w:rFonts w:ascii="Calibri" w:cs="Calibri" w:eastAsia="Calibri" w:hAnsi="Calibri"/>
          <w:b/>
          <w:bCs/>
          <w:color w:val="1B3A6B"/>
          <w:sz w:val="28"/>
          <w:szCs w:val="28"/>
        </w:rPr>
        <w:t xml:space="preserve">🏛️ Rappel SERAFIN-PH — Rôle de chaque acteur</w:t>
      </w:r>
    </w:p>
    <w:p>
      <w:pPr>
        <w:spacing w:after="60" w:before="60"/>
      </w:pPr>
      <w:r>
        <w:rPr>
          <w:rFonts w:ascii="Calibri" w:cs="Calibri" w:eastAsia="Calibri" w:hAnsi="Calibri"/>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0%"/>
            <w:shd w:fill="1B3A6B" w:color="1B3A6B" w:val="solid"/>
            <w:vAlign w:val="center"/>
          </w:tcPr>
          <w:p>
            <w:pPr>
              <w:jc w:val="center"/>
            </w:pPr>
            <w:r>
              <w:rPr>
                <w:rFonts w:ascii="Calibri" w:cs="Calibri" w:eastAsia="Calibri" w:hAnsi="Calibri"/>
                <w:b/>
                <w:bCs/>
                <w:color w:val="FFFFFF"/>
                <w:sz w:val="20"/>
                <w:szCs w:val="20"/>
              </w:rPr>
              <w:t xml:space="preserve">Acteur</w:t>
            </w:r>
          </w:p>
        </w:tc>
        <w:tc>
          <w:tcPr>
            <w:tcW w:type="pct" w:w="80%"/>
            <w:shd w:fill="1B3A6B" w:color="1B3A6B" w:val="solid"/>
            <w:vAlign w:val="center"/>
          </w:tcPr>
          <w:p>
            <w:pPr>
              <w:jc w:val="center"/>
            </w:pPr>
            <w:r>
              <w:rPr>
                <w:rFonts w:ascii="Calibri" w:cs="Calibri" w:eastAsia="Calibri" w:hAnsi="Calibri"/>
                <w:b/>
                <w:bCs/>
                <w:color w:val="FFFFFF"/>
                <w:sz w:val="20"/>
                <w:szCs w:val="20"/>
              </w:rPr>
              <w:t xml:space="preserve">Rôle dans SERAFIN-PH</w:t>
            </w:r>
          </w:p>
        </w:tc>
      </w:tr>
      <w:tr>
        <w:tc>
          <w:tcPr>
            <w:tcMar>
              <w:top w:type="dxa" w:w="60"/>
              <w:left w:type="dxa" w:w="80"/>
              <w:bottom w:type="dxa" w:w="60"/>
              <w:right w:type="dxa" w:w="80"/>
            </w:tcMar>
            <w:vAlign w:val="center"/>
          </w:tcPr>
          <w:p>
            <w:pPr>
              <w:jc w:val="left"/>
            </w:pPr>
            <w:r>
              <w:rPr>
                <w:rFonts w:ascii="Calibri" w:cs="Calibri" w:eastAsia="Calibri" w:hAnsi="Calibri"/>
                <w:b/>
                <w:bCs/>
                <w:color w:val="1F2937"/>
                <w:sz w:val="20"/>
                <w:szCs w:val="20"/>
              </w:rPr>
              <w:t xml:space="preserve">DGCS</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1F2937"/>
                <w:sz w:val="20"/>
                <w:szCs w:val="20"/>
              </w:rPr>
              <w:t xml:space="preserve">Direction générale de la cohésion sociale — pilote politique de la réforme, co-tutelle avec CNSA</w:t>
            </w:r>
          </w:p>
        </w:tc>
      </w:tr>
      <w:tr>
        <w:tc>
          <w:tcPr>
            <w:shd w:fill="EEF2F7" w:color="EEF2F7" w:val="solid"/>
            <w:tcMar>
              <w:top w:type="dxa" w:w="60"/>
              <w:left w:type="dxa" w:w="80"/>
              <w:bottom w:type="dxa" w:w="60"/>
              <w:right w:type="dxa" w:w="80"/>
            </w:tcMar>
            <w:vAlign w:val="center"/>
          </w:tcPr>
          <w:p>
            <w:pPr>
              <w:jc w:val="left"/>
            </w:pPr>
            <w:r>
              <w:rPr>
                <w:rFonts w:ascii="Calibri" w:cs="Calibri" w:eastAsia="Calibri" w:hAnsi="Calibri"/>
                <w:b/>
                <w:bCs/>
                <w:color w:val="1F2937"/>
                <w:sz w:val="20"/>
                <w:szCs w:val="20"/>
              </w:rPr>
              <w:t xml:space="preserve">CNSA</w:t>
            </w:r>
          </w:p>
        </w:tc>
        <w:tc>
          <w:tcPr>
            <w:shd w:fill="EEF2F7" w:color="EEF2F7" w:val="solid"/>
            <w:tcMar>
              <w:top w:type="dxa" w:w="60"/>
              <w:left w:type="dxa" w:w="80"/>
              <w:bottom w:type="dxa" w:w="60"/>
              <w:right w:type="dxa" w:w="80"/>
            </w:tcMar>
            <w:vAlign w:val="center"/>
          </w:tcPr>
          <w:p>
            <w:pPr>
              <w:jc w:val="left"/>
            </w:pPr>
            <w:r>
              <w:rPr>
                <w:rFonts w:ascii="Calibri" w:cs="Calibri" w:eastAsia="Calibri" w:hAnsi="Calibri"/>
                <w:b w:val="false"/>
                <w:bCs w:val="false"/>
                <w:color w:val="1F2937"/>
                <w:sz w:val="20"/>
                <w:szCs w:val="20"/>
              </w:rPr>
              <w:t xml:space="preserve">Caisse nationale de solidarité pour l'autonomie — maître d'œuvre technique, gère SIDOBA, co-pilote du recueil de données</w:t>
            </w:r>
          </w:p>
        </w:tc>
      </w:tr>
      <w:tr>
        <w:tc>
          <w:tcPr>
            <w:tcMar>
              <w:top w:type="dxa" w:w="60"/>
              <w:left w:type="dxa" w:w="80"/>
              <w:bottom w:type="dxa" w:w="60"/>
              <w:right w:type="dxa" w:w="80"/>
            </w:tcMar>
            <w:vAlign w:val="center"/>
          </w:tcPr>
          <w:p>
            <w:pPr>
              <w:jc w:val="left"/>
            </w:pPr>
            <w:r>
              <w:rPr>
                <w:rFonts w:ascii="Calibri" w:cs="Calibri" w:eastAsia="Calibri" w:hAnsi="Calibri"/>
                <w:b/>
                <w:bCs/>
                <w:color w:val="1F2937"/>
                <w:sz w:val="20"/>
                <w:szCs w:val="20"/>
              </w:rPr>
              <w:t xml:space="preserve">ATIH</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1F2937"/>
                <w:sz w:val="20"/>
                <w:szCs w:val="20"/>
              </w:rPr>
              <w:t xml:space="preserve">Agence technique de l'information sur l'hospitalisation — responsable du recueil national PH et de l'Étude nationale de coûts (ENC)</w:t>
            </w:r>
          </w:p>
        </w:tc>
      </w:tr>
      <w:tr>
        <w:tc>
          <w:tcPr>
            <w:shd w:fill="EEF2F7" w:color="EEF2F7" w:val="solid"/>
            <w:tcMar>
              <w:top w:type="dxa" w:w="60"/>
              <w:left w:type="dxa" w:w="80"/>
              <w:bottom w:type="dxa" w:w="60"/>
              <w:right w:type="dxa" w:w="80"/>
            </w:tcMar>
            <w:vAlign w:val="center"/>
          </w:tcPr>
          <w:p>
            <w:pPr>
              <w:jc w:val="left"/>
            </w:pPr>
            <w:r>
              <w:rPr>
                <w:rFonts w:ascii="Calibri" w:cs="Calibri" w:eastAsia="Calibri" w:hAnsi="Calibri"/>
                <w:b/>
                <w:bCs/>
                <w:color w:val="1F2937"/>
                <w:sz w:val="20"/>
                <w:szCs w:val="20"/>
              </w:rPr>
              <w:t xml:space="preserve">ARS</w:t>
            </w:r>
          </w:p>
        </w:tc>
        <w:tc>
          <w:tcPr>
            <w:shd w:fill="EEF2F7" w:color="EEF2F7" w:val="solid"/>
            <w:tcMar>
              <w:top w:type="dxa" w:w="60"/>
              <w:left w:type="dxa" w:w="80"/>
              <w:bottom w:type="dxa" w:w="60"/>
              <w:right w:type="dxa" w:w="80"/>
            </w:tcMar>
            <w:vAlign w:val="center"/>
          </w:tcPr>
          <w:p>
            <w:pPr>
              <w:jc w:val="left"/>
            </w:pPr>
            <w:r>
              <w:rPr>
                <w:rFonts w:ascii="Calibri" w:cs="Calibri" w:eastAsia="Calibri" w:hAnsi="Calibri"/>
                <w:b w:val="false"/>
                <w:bCs w:val="false"/>
                <w:color w:val="1F2937"/>
                <w:sz w:val="20"/>
                <w:szCs w:val="20"/>
              </w:rPr>
              <w:t xml:space="preserve">Agences régionales de santé — relais territorial, accompagnement des ESMS, transmission aux opérateurs</w:t>
            </w:r>
          </w:p>
        </w:tc>
      </w:tr>
      <w:tr>
        <w:tc>
          <w:tcPr>
            <w:tcMar>
              <w:top w:type="dxa" w:w="60"/>
              <w:left w:type="dxa" w:w="80"/>
              <w:bottom w:type="dxa" w:w="60"/>
              <w:right w:type="dxa" w:w="80"/>
            </w:tcMar>
            <w:vAlign w:val="center"/>
          </w:tcPr>
          <w:p>
            <w:pPr>
              <w:jc w:val="left"/>
            </w:pPr>
            <w:r>
              <w:rPr>
                <w:rFonts w:ascii="Calibri" w:cs="Calibri" w:eastAsia="Calibri" w:hAnsi="Calibri"/>
                <w:b/>
                <w:bCs/>
                <w:color w:val="1F2937"/>
                <w:sz w:val="20"/>
                <w:szCs w:val="20"/>
              </w:rPr>
              <w:t xml:space="preserve">ESMS</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1F2937"/>
                <w:sz w:val="20"/>
                <w:szCs w:val="20"/>
              </w:rPr>
              <w:t xml:space="preserve">Établissements et services médico-sociaux — acteurs du recueil de données, futurs bénéficiaires / impactés par la réforme tarifaire</w:t>
            </w:r>
          </w:p>
        </w:tc>
      </w:tr>
    </w:tbl>
    <w:p>
      <w:pPr>
        <w:spacing w:after="60" w:before="60"/>
      </w:pPr>
      <w:r>
        <w:rPr>
          <w:rFonts w:ascii="Calibri" w:cs="Calibri" w:eastAsia="Calibri" w:hAnsi="Calibri"/>
          <w:sz w:val="22"/>
          <w:szCs w:val="22"/>
        </w:rPr>
        <w:t xml:space="preserve"/>
      </w:r>
    </w:p>
    <w:p>
      <w:pPr>
        <w:pBdr>
          <w:bottom w:val="single" w:color="1B3A6B" w:sz="6"/>
        </w:pBdr>
        <w:spacing w:after="120" w:before="240"/>
      </w:pPr>
      <w:r>
        <w:rPr>
          <w:rFonts w:ascii="Calibri" w:cs="Calibri" w:eastAsia="Calibri" w:hAnsi="Calibri"/>
          <w:b/>
          <w:bCs/>
          <w:color w:val="1B3A6B"/>
          <w:sz w:val="28"/>
          <w:szCs w:val="28"/>
        </w:rPr>
        <w:t xml:space="preserve">🔎 Transparence — Affirmations non sourcées dans la fenêtre</w:t>
      </w:r>
    </w:p>
    <w:p>
      <w:pPr>
        <w:spacing w:after="60" w:before="60"/>
      </w:pPr>
      <w:r>
        <w:rPr>
          <w:rFonts w:ascii="Calibri" w:cs="Calibri" w:eastAsia="Calibri" w:hAnsi="Calibri"/>
          <w:color w:val="1F2937"/>
          <w:sz w:val="22"/>
          <w:szCs w:val="22"/>
        </w:rPr>
        <w:t xml:space="preserve">Aucun fait d'actualité daté dans la fenêtre 29/07–05/08/2026 n'a été identifié. Tous les éléments factuels figurant dans la section « Rappel / Contexte » proviennent de sources réellement consultées pendant cette exécution, avec leur date de publication explicite.</w:t>
      </w:r>
    </w:p>
    <w:p>
      <w:pPr>
        <w:spacing w:after="60" w:before="60"/>
      </w:pPr>
      <w:r>
        <w:rPr>
          <w:rFonts w:ascii="Calibri" w:cs="Calibri" w:eastAsia="Calibri" w:hAnsi="Calibri"/>
          <w:color w:val="1F2937"/>
          <w:sz w:val="22"/>
          <w:szCs w:val="22"/>
        </w:rPr>
        <w:t xml:space="preserve">Élément non confirmé sur source primaire : le décret du 13 mai 2026 est cité d'après la page CNSA (source secondaire). La référence Legifrance (JORFTEXT000054103861) est fournie mais le texte intégral n'a pas été ouvert directement pendant cette exécution.</w:t>
      </w:r>
    </w:p>
    <w:p>
      <w:pPr>
        <w:spacing w:after="60" w:before="60"/>
      </w:pPr>
      <w:r>
        <w:rPr>
          <w:rFonts w:ascii="Calibri" w:cs="Calibri" w:eastAsia="Calibri" w:hAnsi="Calibri"/>
          <w:sz w:val="22"/>
          <w:szCs w:val="22"/>
        </w:rPr>
        <w:t xml:space="preserve"/>
      </w:r>
    </w:p>
    <w:p>
      <w:pPr>
        <w:spacing w:after="120" w:before="320"/>
      </w:pPr>
      <w:r>
        <w:rPr>
          <w:rFonts w:ascii="Calibri" w:cs="Calibri" w:eastAsia="Calibri" w:hAnsi="Calibri"/>
          <w:b/>
          <w:bCs/>
          <w:color w:val="1B3A6B"/>
          <w:sz w:val="28"/>
          <w:szCs w:val="28"/>
        </w:rPr>
        <w:t xml:space="preserve">📝 Journal des corrections — 12 septembre 2026</w:t>
      </w:r>
    </w:p>
    <w:p>
      <w:pPr>
        <w:spacing w:after="80"/>
      </w:pPr>
      <w:r>
        <w:rPr>
          <w:rFonts w:ascii="Calibri" w:cs="Calibri" w:eastAsia="Calibri" w:hAnsi="Calibri"/>
          <w:color w:val="1F2937"/>
          <w:sz w:val="22"/>
          <w:szCs w:val="22"/>
        </w:rPr>
        <w:t xml:space="preserve">Note produite le 05/08/2026, relue le 12/09/2026 au cours d'un contrôle d'attribution des 221 documents du dépôt (règle ⑭ : une page ou un site nommé comme source doit être lié). Contenu inchangé, sauf la date signalée ci-dessous.</w:t>
      </w:r>
    </w:p>
    <w:p>
      <w:pPr>
        <w:spacing w:after="80"/>
      </w:pPr>
      <w:r>
        <w:rPr>
          <w:rFonts w:ascii="Calibri" w:cs="Calibri" w:eastAsia="Calibri" w:hAnsi="Calibri"/>
          <w:color w:val="1F2937"/>
          <w:sz w:val="22"/>
          <w:szCs w:val="22"/>
        </w:rPr>
        <w:t xml:space="preserve">Chemins et sites nommés sans lien cliquable, chacun lié le 12/09/2026 à la page qu'il désigne, testée à 200 dans un navigateur (Légifrance : 403 pour l'agent du job, lisible dans un navigateur) : cnsa.fr → www.cnsa.fr/budget-et-financement/serafin-PH (1) ; legifrance.gouv.fr → www.legifrance.gouv.fr/jorf/id/JORFTEXT000054103861 (1).</w:t>
      </w:r>
    </w:p>
    <w:p>
      <w:pPr>
        <w:spacing w:after="80"/>
      </w:pPr>
      <w:r>
        <w:rPr>
          <w:rFonts w:ascii="Calibri" w:cs="Calibri" w:eastAsia="Calibri" w:hAnsi="Calibri"/>
          <w:color w:val="1F2937"/>
          <w:sz w:val="22"/>
          <w:szCs w:val="22"/>
        </w:rPr>
        <w:t xml:space="preserve">Un fait retouché en passant : « Décret publié au Journal officiel le 13 mai 2026 » — le 13 mai est la date de l'acte ; la publication au JO est du 16 mai 2026 (vérifié le 12/09/2026 sur les pages Qualineo et E-Solidarités qui citent le texte, Légifrance opposant un 403 à l'agent). Date d'acte et date de publication sont distinguées, comme la règle 2 l'impose.</w:t>
      </w:r>
    </w:p>
    <w:p>
      <w:pPr>
        <w:spacing w:after="80"/>
      </w:pPr>
      <w:r>
        <w:rPr>
          <w:rFonts w:ascii="Calibri" w:cs="Calibri" w:eastAsia="Calibri" w:hAnsi="Calibri"/>
          <w:color w:val="1F2937"/>
          <w:sz w:val="22"/>
          <w:szCs w:val="22"/>
        </w:rPr>
        <w:t xml:space="preserve">Deux lignes « Source : CNSA — page principale SERAFIN-PH » nommaient leur source sans domaine : cnsa.fr et legifrance.gouv.fr ajoutés et liés le 12/09/2026.</w:t>
      </w:r>
    </w:p>
    <w:sectPr>
      <w:headerReference w:type="default" r:id="rId7"/>
      <w:footerReference w:type="default" r:id="rId8"/>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Produit le 05/08/2026 | Sources : handicap.gouv.fr ✅ | cnsa.fr ✅ | atih.sante.fr ⛔ (non lisible) | 0 nouveauté dans la fenêtre du 29/07 au 05/08/2026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pBdr>
      <w:jc w:val="left"/>
    </w:pPr>
    <w:r>
      <w:rPr>
        <w:rFonts w:ascii="Calibri" w:cs="Calibri" w:eastAsia="Calibri" w:hAnsi="Calibri"/>
        <w:b/>
        <w:bCs/>
        <w:color w:val="1B3A6B"/>
        <w:sz w:val="18"/>
        <w:szCs w:val="18"/>
      </w:rPr>
      <w:t xml:space="preserve">Veille SERAFIN-PH — </w:t>
    </w:r>
    <w:r>
      <w:rPr>
        <w:rFonts w:ascii="Calibri" w:cs="Calibri" w:eastAsia="Calibri" w:hAnsi="Calibri"/>
        <w:color w:val="1F2937"/>
        <w:sz w:val="18"/>
        <w:szCs w:val="18"/>
      </w:rPr>
      <w:t xml:space="preserve">Synthèse hebdomadaire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cnsa_page2026" Type="http://schemas.openxmlformats.org/officeDocument/2006/relationships/hyperlink" Target="https://www.cnsa.fr/budget-et-financement/serafin-PH" TargetMode="External"/><Relationship Id="rIdlegi2026" Type="http://schemas.openxmlformats.org/officeDocument/2006/relationships/hyperlink" Target="https://www.legifrance.gouv.fr/jorf/id/JORFTEXT000054103861"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2026-08-05T06:07:43.329Z</dcterms:created>
  <dcterms:modified xsi:type="dcterms:W3CDTF">2026-08-05T06:07:43.331Z</dcterms:modified>
</cp:coreProperties>
</file>

<file path=docProps/custom.xml><?xml version="1.0" encoding="utf-8"?>
<Properties xmlns="http://schemas.openxmlformats.org/officeDocument/2006/custom-properties" xmlns:vt="http://schemas.openxmlformats.org/officeDocument/2006/docPropsVTypes"/>
</file>