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1B3A6B"/>
          <w:sz w:val="36"/>
          <w:szCs w:val="36"/>
        </w:rPr>
        <w:t xml:space="preserve">Veille SERAFIN-PH — Synthèse hebdomadaire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i/>
          <w:iCs/>
          <w:color w:val="1F2937"/>
          <w:sz w:val="22"/>
          <w:szCs w:val="22"/>
        </w:rPr>
        <w:t xml:space="preserve">Date de production : 2 septembre 2026</w:t>
      </w:r>
    </w:p>
    <w:p>
      <w:pPr>
        <w:spacing w:after="120" w:before="0"/>
        <w:jc w:val="center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Fenêtre de veille : 26 août 2026 – 2 septembre 2026 (7 derniers jours)</w:t>
      </w:r>
    </w:p>
    <w:p>
      <w:pPr>
        <w:pBdr>
          <w:bottom w:val="single" w:color="1B3A6B" w:sz="6"/>
        </w:pBdr>
        <w:spacing w:after="0" w:before="120"/>
      </w:pPr>
      <w:r>
        <w:rPr>
          <w:sz w:val="22"/>
          <w:szCs w:val="22"/>
        </w:rP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Sources consultées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500"/>
        <w:gridCol w:w="1800"/>
        <w:gridCol w:w="2500"/>
      </w:tblGrid>
      <w:tr>
        <w:trPr>
          <w:tblHeader/>
        </w:trPr>
        <w:tc>
          <w:tcPr>
            <w:shd w:fill="1B3A6B" w:color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shd w:fill="1B3A6B" w:color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shd w:fill="1B3A6B" w:color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  <w:tc>
          <w:tcPr>
            <w:shd w:fill="1B3A6B" w:color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Apport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hyperlink w:history="1" r:id="rIdc142026">
              <w:r>
                <w:rPr>
                  <w:rFonts w:ascii="Calibri" w:cs="Calibri" w:eastAsia="Calibri" w:hAnsi="Calibri"/>
                  <w:b w:val="false"/>
                  <w:bCs w:val="false"/>
                  <w:sz w:val="20"/>
                  <w:szCs w:val="20"/>
                  <w:color w:val="1155CC"/>
                  <w:u w:val="single"/>
                </w:rPr>
                <w:t xml:space="preserve">handicap.gouv.fr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 — 14e comité stratégique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hyperlink w:history="1" r:id="rIdc142026">
              <w:r>
                <w:rPr>
                  <w:rFonts w:ascii="Calibri" w:cs="Calibri" w:eastAsia="Calibri" w:hAnsi="Calibri"/>
                  <w:b w:val="false"/>
                  <w:bCs w:val="false"/>
                  <w:sz w:val="20"/>
                  <w:szCs w:val="20"/>
                  <w:color w:val="1155CC"/>
                  <w:u w:val="single"/>
                </w:rPr>
                <w:t xml:space="preserve">handicap.gouv.fr/reforme-tarifaire-des-esms-serafin-ph-14e-reunion-du-comite-strategique</w:t>
              </w:r>
            </w:hyperlink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✅ Consultée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Rappel/contexte (pub. 27/03/2026)</w:t>
            </w:r>
          </w:p>
        </w:tc>
      </w:tr>
      <w:tr>
        <w:tc>
          <w:tcPr>
            <w:shd w:fill="EEF2F7" w:color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hyperlink w:history="1" r:id="rIdcnsa_page2026">
              <w:r>
                <w:rPr>
                  <w:rFonts w:ascii="Calibri" w:cs="Calibri" w:eastAsia="Calibri" w:hAnsi="Calibri"/>
                  <w:b w:val="false"/>
                  <w:bCs w:val="false"/>
                  <w:sz w:val="20"/>
                  <w:szCs w:val="20"/>
                  <w:color w:val="1155CC"/>
                  <w:u w:val="single"/>
                </w:rPr>
                <w:t xml:space="preserve">cnsa.fr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 — Recueil PH 2026</w:t>
            </w:r>
          </w:p>
        </w:tc>
        <w:tc>
          <w:tcPr>
            <w:shd w:fill="EEF2F7" w:color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hyperlink w:history="1" r:id="rIdcnsa_actu2026">
              <w:r>
                <w:rPr>
                  <w:rFonts w:ascii="Calibri" w:cs="Calibri" w:eastAsia="Calibri" w:hAnsi="Calibri"/>
                  <w:b w:val="false"/>
                  <w:bCs w:val="false"/>
                  <w:sz w:val="20"/>
                  <w:szCs w:val="20"/>
                  <w:color w:val="1155CC"/>
                  <w:u w:val="single"/>
                </w:rPr>
                <w:t xml:space="preserve">cnsa.fr/actualites/serafin-ph-preparation-du-recueil-dinformations-ph-2026</w:t>
              </w:r>
            </w:hyperlink>
          </w:p>
        </w:tc>
        <w:tc>
          <w:tcPr>
            <w:shd w:fill="EEF2F7" w:color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✅ Consultée</w:t>
            </w:r>
          </w:p>
        </w:tc>
        <w:tc>
          <w:tcPr>
            <w:shd w:fill="EEF2F7" w:color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Rappel/contexte (pub. 17/12/2025)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hyperlink w:history="1" r:id="rIdcnsa_page2026">
              <w:r>
                <w:rPr>
                  <w:rFonts w:ascii="Calibri" w:cs="Calibri" w:eastAsia="Calibri" w:hAnsi="Calibri"/>
                  <w:b w:val="false"/>
                  <w:bCs w:val="false"/>
                  <w:sz w:val="20"/>
                  <w:szCs w:val="20"/>
                  <w:color w:val="1155CC"/>
                  <w:u w:val="single"/>
                </w:rPr>
                <w:t xml:space="preserve">cnsa.fr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 — Page SERAFIN-PH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hyperlink w:history="1" r:id="rIdcnsa_page2026">
              <w:r>
                <w:rPr>
                  <w:rFonts w:ascii="Calibri" w:cs="Calibri" w:eastAsia="Calibri" w:hAnsi="Calibri"/>
                  <w:b w:val="false"/>
                  <w:bCs w:val="false"/>
                  <w:sz w:val="20"/>
                  <w:szCs w:val="20"/>
                  <w:color w:val="1155CC"/>
                  <w:u w:val="single"/>
                </w:rPr>
                <w:t xml:space="preserve">cnsa.fr/budget-et-financement/serafin-PH</w:t>
              </w:r>
            </w:hyperlink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✅ Consultée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Sans élément nouveau dans la fenêtre</w:t>
            </w:r>
          </w:p>
        </w:tc>
      </w:tr>
      <w:tr>
        <w:tc>
          <w:tcPr>
            <w:shd w:fill="EEF2F7" w:color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hyperlink w:history="1" r:id="rIdqual2026">
              <w:r>
                <w:rPr>
                  <w:rFonts w:ascii="Calibri" w:cs="Calibri" w:eastAsia="Calibri" w:hAnsi="Calibri"/>
                  <w:b w:val="false"/>
                  <w:bCs w:val="false"/>
                  <w:sz w:val="20"/>
                  <w:szCs w:val="20"/>
                  <w:color w:val="1155CC"/>
                  <w:u w:val="single"/>
                </w:rPr>
                <w:t xml:space="preserve">qualineo.io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 — Décret mai 2026 (source secondaire)</w:t>
            </w:r>
          </w:p>
        </w:tc>
        <w:tc>
          <w:tcPr>
            <w:shd w:fill="EEF2F7" w:color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hyperlink w:history="1" r:id="rIdqual2026">
              <w:r>
                <w:rPr>
                  <w:rFonts w:ascii="Calibri" w:cs="Calibri" w:eastAsia="Calibri" w:hAnsi="Calibri"/>
                  <w:b w:val="false"/>
                  <w:bCs w:val="false"/>
                  <w:sz w:val="20"/>
                  <w:szCs w:val="20"/>
                  <w:color w:val="1155CC"/>
                  <w:u w:val="single"/>
                </w:rPr>
                <w:t xml:space="preserve">qualineo.io/post/decret-serafin-ph-2026</w:t>
              </w:r>
            </w:hyperlink>
          </w:p>
        </w:tc>
        <w:tc>
          <w:tcPr>
            <w:shd w:fill="EEF2F7" w:color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✅ Consultée</w:t>
            </w:r>
          </w:p>
        </w:tc>
        <w:tc>
          <w:tcPr>
            <w:shd w:fill="EEF2F7" w:color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Rappel/contexte (pub. 19/05/2026)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ATIH — Recueil national PH 2025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hyperlink w:history="1" r:id="rIdatih252026">
              <w:r>
                <w:rPr>
                  <w:rFonts w:ascii="Calibri" w:cs="Calibri" w:eastAsia="Calibri" w:hAnsi="Calibri"/>
                  <w:b w:val="false"/>
                  <w:bCs w:val="false"/>
                  <w:sz w:val="20"/>
                  <w:szCs w:val="20"/>
                  <w:color w:val="1155CC"/>
                  <w:u w:val="single"/>
                </w:rPr>
                <w:t xml:space="preserve">atih.sante.fr/recueil-national-ph-2025</w:t>
              </w:r>
            </w:hyperlink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⛔ 403 (blocage anti-robot)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Non exploitable</w:t>
            </w:r>
          </w:p>
        </w:tc>
      </w:tr>
      <w:tr>
        <w:tc>
          <w:tcPr>
            <w:shd w:fill="EEF2F7" w:color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FHF — Ouverture recueil 2026</w:t>
            </w:r>
          </w:p>
        </w:tc>
        <w:tc>
          <w:tcPr>
            <w:shd w:fill="EEF2F7" w:color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hyperlink w:history="1" r:id="rIdfhf2026">
              <w:r>
                <w:rPr>
                  <w:rFonts w:ascii="Calibri" w:cs="Calibri" w:eastAsia="Calibri" w:hAnsi="Calibri"/>
                  <w:b w:val="false"/>
                  <w:bCs w:val="false"/>
                  <w:sz w:val="20"/>
                  <w:szCs w:val="20"/>
                  <w:color w:val="1155CC"/>
                  <w:u w:val="single"/>
                </w:rPr>
                <w:t xml:space="preserve">fhf.fr/expertises/autonomie/handicap/serafin-ph-ouverture-du-recueil-2026</w:t>
              </w:r>
            </w:hyperlink>
          </w:p>
        </w:tc>
        <w:tc>
          <w:tcPr>
            <w:shd w:fill="EEF2F7" w:color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⛔ Timeout</w:t>
            </w:r>
          </w:p>
        </w:tc>
        <w:tc>
          <w:tcPr>
            <w:shd w:fill="EEF2F7" w:color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Non exploitable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1B3A6B" w:sz="6"/>
        </w:pBdr>
        <w:spacing w:after="0" w:before="120"/>
      </w:pPr>
      <w:r>
        <w:rPr>
          <w:sz w:val="22"/>
          <w:szCs w:val="22"/>
        </w:rPr>
        <w:t xml:space="preserve"/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🔵 En bref — Tableau de bord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000"/>
        <w:gridCol w:w="1800"/>
      </w:tblGrid>
      <w:tr>
        <w:trPr>
          <w:tblHeader/>
        </w:trPr>
        <w:tc>
          <w:tcPr>
            <w:shd w:fill="1B3A6B" w:color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Thème</w:t>
            </w:r>
          </w:p>
        </w:tc>
        <w:tc>
          <w:tcPr>
            <w:shd w:fill="1B3A6B" w:color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  <w:tc>
          <w:tcPr>
            <w:shd w:fill="1B3A6B" w:color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Échéance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Actualités dans la fenêtre 26/08–02/09/2026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⬜ Semaine creuse — aucune publication identifiée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—</w:t>
            </w:r>
          </w:p>
        </w:tc>
      </w:tr>
      <w:tr>
        <w:tc>
          <w:tcPr>
            <w:shd w:fill="EEF2F7" w:color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Recueil PH 2026 (données médico-économiques)</w:t>
            </w:r>
          </w:p>
        </w:tc>
        <w:tc>
          <w:tcPr>
            <w:shd w:fill="EEF2F7" w:color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✅ Clos (clôture modulation : 3 juillet 2026)</w:t>
            </w:r>
          </w:p>
        </w:tc>
        <w:tc>
          <w:tcPr>
            <w:shd w:fill="EEF2F7" w:color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Clôturé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Simulations de dotations théoriques par ESMS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🔄 En cours — CNSA exporte les données depuis juil. 2026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Fin 2026</w:t>
            </w:r>
          </w:p>
        </w:tc>
      </w:tr>
      <w:tr>
        <w:tc>
          <w:tcPr>
            <w:shd w:fill="EEF2F7" w:color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Transmission simulations aux ARS</w:t>
            </w:r>
          </w:p>
        </w:tc>
        <w:tc>
          <w:tcPr>
            <w:shd w:fill="EEF2F7" w:color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🔄 Attendue fin d'année 2026</w:t>
            </w:r>
          </w:p>
        </w:tc>
        <w:tc>
          <w:tcPr>
            <w:shd w:fill="EEF2F7" w:color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T4 2026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Déploiement opérationnel SERAFIN-PH (ESMS enfants)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⏳ Confirmé — convergence progressive 8 ans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1er janv. 2027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1B3A6B" w:sz="6"/>
        </w:pBdr>
        <w:spacing w:after="0" w:before="120"/>
      </w:pPr>
      <w:r>
        <w:rPr>
          <w:sz w:val="22"/>
          <w:szCs w:val="22"/>
        </w:rPr>
        <w:t xml:space="preserve"/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📋 Actualités de la semaine (fenêtre : 26/08 – 02/09/2026)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⚠️ Semaine creuse — aucune publication officielle datée dans la fenêtre de veille n'a été identifiée sur les sources consultées (</w:t>
      </w:r>
      <w:hyperlink w:history="1" r:id="rIdc142026">
        <w:r>
          <w:rPr>
            <w:rFonts w:ascii="Calibri" w:cs="Calibri" w:eastAsia="Calibri" w:hAnsi="Calibri"/>
            <w:b/>
            <w:bCs/>
            <w:sz w:val="22"/>
            <w:szCs w:val="22"/>
            <w:color w:val="1155CC"/>
            <w:u w:val="single"/>
          </w:rPr>
          <w:t xml:space="preserve">handicap.gouv.fr</w:t>
        </w:r>
      </w:hyperlink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, </w:t>
      </w:r>
      <w:hyperlink w:history="1" r:id="rIdcnsa_page2026">
        <w:r>
          <w:rPr>
            <w:rFonts w:ascii="Calibri" w:cs="Calibri" w:eastAsia="Calibri" w:hAnsi="Calibri"/>
            <w:b/>
            <w:bCs/>
            <w:sz w:val="22"/>
            <w:szCs w:val="22"/>
            <w:color w:val="1155CC"/>
            <w:u w:val="single"/>
          </w:rPr>
          <w:t xml:space="preserve">cnsa.fr</w:t>
        </w:r>
      </w:hyperlink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, </w:t>
      </w:r>
      <w:hyperlink w:history="1" r:id="rIdatih252026">
        <w:r>
          <w:rPr>
            <w:rFonts w:ascii="Calibri" w:cs="Calibri" w:eastAsia="Calibri" w:hAnsi="Calibri"/>
            <w:b/>
            <w:bCs/>
            <w:sz w:val="22"/>
            <w:szCs w:val="22"/>
            <w:color w:val="1155CC"/>
            <w:u w:val="single"/>
          </w:rPr>
          <w:t xml:space="preserve">atih.sante.fr</w:t>
        </w:r>
      </w:hyperlink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, </w:t>
      </w:r>
      <w:hyperlink w:history="1" r:id="rIdfhf2026">
        <w:r>
          <w:rPr>
            <w:rFonts w:ascii="Calibri" w:cs="Calibri" w:eastAsia="Calibri" w:hAnsi="Calibri"/>
            <w:b/>
            <w:bCs/>
            <w:sz w:val="22"/>
            <w:szCs w:val="22"/>
            <w:color w:val="1155CC"/>
            <w:u w:val="single"/>
          </w:rPr>
          <w:t xml:space="preserve">fhf.fr</w:t>
        </w:r>
      </w:hyperlink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).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La période estivale (août-septembre) est traditionnellement moins productive en termes de publications institutionnelles. Les sources consultées ne comportent pas d'article ou de communiqué daté entre le 26 août et le 2 septembre 2026.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La note ci-dessous présente les éléments contextuels récents utiles (hors fenêtre, datés et sourcés) pour maintenir la continuité de la veille.</w:t>
      </w:r>
    </w:p>
    <w:p>
      <w:pPr>
        <w:spacing w:after="0" w:before="60"/>
      </w:pPr>
      <w:r>
        <w:t xml:space="preserve"/>
      </w:r>
    </w:p>
    <w:p>
      <w:pPr>
        <w:pBdr>
          <w:bottom w:val="single" w:color="1B3A6B" w:sz="6"/>
        </w:pBdr>
        <w:spacing w:after="0" w:before="120"/>
      </w:pPr>
      <w:r>
        <w:rPr>
          <w:sz w:val="22"/>
          <w:szCs w:val="22"/>
        </w:rPr>
        <w:t xml:space="preserve"/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🗂️ Rappel / Contexte (informations hors fenêtre — datées et sourcées)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14e réunion du comité stratégique (23 mars 2026)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1F2937"/>
          <w:sz w:val="22"/>
          <w:szCs w:val="22"/>
        </w:rPr>
        <w:t xml:space="preserve">Source : </w:t>
      </w:r>
      <w:hyperlink w:history="1" r:id="rIdc142026">
        <w:r>
          <w:rPr>
            <w:rFonts w:ascii="Calibri" w:cs="Calibri" w:eastAsia="Calibri" w:hAnsi="Calibri"/>
            <w:b w:val="false"/>
            <w:bCs w:val="false"/>
            <w:i/>
            <w:iCs/>
            <w:sz w:val="22"/>
            <w:szCs w:val="22"/>
            <w:color w:val="1155CC"/>
            <w:u w:val="single"/>
          </w:rPr>
          <w:t xml:space="preserve">handicap.gouv.fr</w:t>
        </w:r>
      </w:hyperlink>
      <w:r>
        <w:rPr>
          <w:rFonts w:ascii="Calibri" w:cs="Calibri" w:eastAsia="Calibri" w:hAnsi="Calibri"/>
          <w:b w:val="false"/>
          <w:bCs w:val="false"/>
          <w:i/>
          <w:iCs/>
          <w:color w:val="1F2937"/>
          <w:sz w:val="22"/>
          <w:szCs w:val="22"/>
        </w:rPr>
        <w:t xml:space="preserve"> — publication : 27 mars 2026 | Événement : 23 mars 2026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Décision confirmée : déploiement opérationnel au 1er janvier 2027 pour les ESMS accompagnant enfants et jeunes adultes handicapés.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Lancement du recueil de données fixé au 30 mars 2026.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Chaque ESMS concerné recevra des simulations individualisées de l'impact de la réforme sur ses dotations.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Mobilisation des ARS prévue jusqu'à l'automne 2026 pour la fiabilisation des données.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Accompagnement des structures : webinaires, rencontres régionales, ressources de formation.</w:t>
      </w:r>
    </w:p>
    <w:p>
      <w:pPr>
        <w:spacing w:after="0" w:before="8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Décret du 13 mai 2026 — transmission des données (source secondaire)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1F2937"/>
          <w:sz w:val="22"/>
          <w:szCs w:val="22"/>
        </w:rPr>
        <w:t xml:space="preserve">Source secondaire : </w:t>
      </w:r>
      <w:hyperlink w:history="1" r:id="rIdqual2026">
        <w:r>
          <w:rPr>
            <w:rFonts w:ascii="Calibri" w:cs="Calibri" w:eastAsia="Calibri" w:hAnsi="Calibri"/>
            <w:b w:val="false"/>
            <w:bCs w:val="false"/>
            <w:i/>
            <w:iCs/>
            <w:sz w:val="22"/>
            <w:szCs w:val="22"/>
            <w:color w:val="1155CC"/>
            <w:u w:val="single"/>
          </w:rPr>
          <w:t xml:space="preserve">qualineo.io</w:t>
        </w:r>
      </w:hyperlink>
      <w:r>
        <w:rPr>
          <w:rFonts w:ascii="Calibri" w:cs="Calibri" w:eastAsia="Calibri" w:hAnsi="Calibri"/>
          <w:b w:val="false"/>
          <w:bCs w:val="false"/>
          <w:i/>
          <w:iCs/>
          <w:color w:val="1F2937"/>
          <w:sz w:val="22"/>
          <w:szCs w:val="22"/>
        </w:rPr>
        <w:t xml:space="preserve"> (pub. 19 mai 2026) — décret publié au Journal officiel le 16 mai 2026 | Décret non consulté directement sur Légifrance.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Décret du 13 mai 2026 pris en application de l'article 90 de la LFSS 2026.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Encadre la transmission des données nécessaires au calcul des futures dotations globales de financement.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Établissements concernés : ESMS accompagnant mineurs et jeunes adultes handicapés sur orientation CDAPH.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Catégories de données : identification de la structure, données d'activité (files actives, ETP, situations complexes), informations qualité et coordination.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Conservation des données : 10 ans maximum.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RGPD : droit d'opposition non applicable dans ce cadre réglementaire ; droits d'accès, rectification et limitation applicables.</w:t>
      </w:r>
    </w:p>
    <w:p>
      <w:pPr>
        <w:spacing w:after="0" w:before="8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Recueil PH 2026 — calendrier et état d'avancement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1F2937"/>
          <w:sz w:val="22"/>
          <w:szCs w:val="22"/>
        </w:rPr>
        <w:t xml:space="preserve">Source : </w:t>
      </w:r>
      <w:hyperlink w:history="1" r:id="rIdcnsa_page2026">
        <w:r>
          <w:rPr>
            <w:rFonts w:ascii="Calibri" w:cs="Calibri" w:eastAsia="Calibri" w:hAnsi="Calibri"/>
            <w:b w:val="false"/>
            <w:bCs w:val="false"/>
            <w:i/>
            <w:iCs/>
            <w:sz w:val="22"/>
            <w:szCs w:val="22"/>
            <w:color w:val="1155CC"/>
            <w:u w:val="single"/>
          </w:rPr>
          <w:t xml:space="preserve">cnsa.fr</w:t>
        </w:r>
      </w:hyperlink>
      <w:r>
        <w:rPr>
          <w:rFonts w:ascii="Calibri" w:cs="Calibri" w:eastAsia="Calibri" w:hAnsi="Calibri"/>
          <w:b w:val="false"/>
          <w:bCs w:val="false"/>
          <w:i/>
          <w:iCs/>
          <w:color w:val="1F2937"/>
          <w:sz w:val="22"/>
          <w:szCs w:val="22"/>
        </w:rPr>
        <w:t xml:space="preserve"> (publication : 17 décembre 2025)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3000"/>
        <w:gridCol w:w="1800"/>
      </w:tblGrid>
      <w:tr>
        <w:trPr>
          <w:tblHeader/>
        </w:trPr>
        <w:tc>
          <w:tcPr>
            <w:shd w:fill="1B3A6B" w:color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shd w:fill="1B3A6B" w:color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Période</w:t>
            </w:r>
          </w:p>
        </w:tc>
        <w:tc>
          <w:tcPr>
            <w:shd w:fill="1B3A6B" w:color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Contenu</w:t>
            </w:r>
          </w:p>
        </w:tc>
        <w:tc>
          <w:tcPr>
            <w:shd w:fill="1B3A6B" w:color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Ouverture SIDOBA SERAFIN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Février 2026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Ouverture de l'application aux établissements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✅ Clôturé</w:t>
            </w:r>
          </w:p>
        </w:tc>
      </w:tr>
      <w:tr>
        <w:tc>
          <w:tcPr>
            <w:shd w:fill="EEF2F7" w:color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Phase 1 — Recueil capacitaire</w:t>
            </w:r>
          </w:p>
        </w:tc>
        <w:tc>
          <w:tcPr>
            <w:shd w:fill="EEF2F7" w:color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Mars–avril 2026</w:t>
            </w:r>
          </w:p>
        </w:tc>
        <w:tc>
          <w:tcPr>
            <w:shd w:fill="EEF2F7" w:color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~40 variables : caractéristiques des places</w:t>
            </w:r>
          </w:p>
        </w:tc>
        <w:tc>
          <w:tcPr>
            <w:shd w:fill="EEF2F7" w:color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✅ Clôturé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Qualification par les ARS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Mai 2026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Vérification et validation des données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✅ Clôturé</w:t>
            </w:r>
          </w:p>
        </w:tc>
      </w:tr>
      <w:tr>
        <w:tc>
          <w:tcPr>
            <w:shd w:fill="EEF2F7" w:color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Phase 2 — Modulation activité + objectifs</w:t>
            </w:r>
          </w:p>
        </w:tc>
        <w:tc>
          <w:tcPr>
            <w:shd w:fill="EEF2F7" w:color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8 juin – 3 juillet 2026</w:t>
            </w:r>
          </w:p>
        </w:tc>
        <w:tc>
          <w:tcPr>
            <w:shd w:fill="EEF2F7" w:color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Modulation à l'activité réelle et sur objectifs</w:t>
            </w:r>
          </w:p>
        </w:tc>
        <w:tc>
          <w:tcPr>
            <w:shd w:fill="EEF2F7" w:color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✅ Clôturé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Export et simulations CNSA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À partir de juillet 2026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Export des données, calcul des dotations théoriques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🔄 En cours</w:t>
            </w:r>
          </w:p>
        </w:tc>
      </w:tr>
      <w:tr>
        <w:tc>
          <w:tcPr>
            <w:shd w:fill="EEF2F7" w:color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Transmission simulations aux ARS</w:t>
            </w:r>
          </w:p>
        </w:tc>
        <w:tc>
          <w:tcPr>
            <w:shd w:fill="EEF2F7" w:color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T4 2026 (automne)</w:t>
            </w:r>
          </w:p>
        </w:tc>
        <w:tc>
          <w:tcPr>
            <w:shd w:fill="EEF2F7" w:color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Chaque ESMS recevra sa dotation théorique simulée</w:t>
            </w:r>
          </w:p>
        </w:tc>
        <w:tc>
          <w:tcPr>
            <w:shd w:fill="EEF2F7" w:color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⏳ À venir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Note : 2026 est une "année blanche" — le nouveau modèle tarifaire n'a pas d'incidence sur le financement des structures en 2026. Le déploiement effectif commence au 1er janvier 2027, avec une convergence progressive sur 8 ans.</w:t>
      </w:r>
    </w:p>
    <w:p>
      <w:pPr>
        <w:spacing w:after="0" w:before="80"/>
      </w:pPr>
      <w:r>
        <w:t xml:space="preserve"/>
      </w:r>
    </w:p>
    <w:p>
      <w:pPr>
        <w:pBdr>
          <w:bottom w:val="single" w:color="1B3A6B" w:sz="6"/>
        </w:pBdr>
        <w:spacing w:after="0" w:before="120"/>
      </w:pPr>
      <w:r>
        <w:rPr>
          <w:sz w:val="22"/>
          <w:szCs w:val="22"/>
        </w:rPr>
        <w:t xml:space="preserve"/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⚠️ Points de vigilance pour les directions d'ESSMS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shd w:fill="1B3A6B" w:color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⚠️ Point</w:t>
            </w:r>
          </w:p>
        </w:tc>
        <w:tc>
          <w:tcPr>
            <w:shd w:fill="1B3A6B" w:color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Détail pratique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Simulations de dotations à l'automne 2026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Chaque ESMS concerné (secteur enfance) recevra via son ARS une simulation de sa dotation théorique dans le nouveau modèle. Anticiper la lecture et l'analyse interne avant fin 2026.</w:t>
            </w:r>
          </w:p>
        </w:tc>
      </w:tr>
      <w:tr>
        <w:tc>
          <w:tcPr>
            <w:shd w:fill="EEF2F7" w:color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Déploiement 1er janvier 2027 confirmé (ESMS enfants)</w:t>
            </w:r>
          </w:p>
        </w:tc>
        <w:tc>
          <w:tcPr>
            <w:shd w:fill="EEF2F7" w:color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Le comité stratégique du 23 mars 2026 a confirmé le calendrier. Ne plus considérer ce déploiement comme hypothétique. Prévoir l'organisation et la formation des équipes de direction.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Données transmises via SIDOBA : vérifier la conformité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Le recueil 2026 est clos (3 juillet 2026). Si votre structure a participé, s'assurer que les données transmises sont vérifiées par l'ARS. Des erreurs de saisie affecteront les simulations de dotation.</w:t>
            </w:r>
          </w:p>
        </w:tc>
      </w:tr>
      <w:tr>
        <w:tc>
          <w:tcPr>
            <w:shd w:fill="EEF2F7" w:color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Décret du 13 mai 2026 — obligations RGPD</w:t>
            </w:r>
          </w:p>
        </w:tc>
        <w:tc>
          <w:tcPr>
            <w:shd w:fill="EEF2F7" w:color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Le droit d'opposition au traitement des données SERAFIN-PH n'est pas applicable (caractère obligatoire réglementaire). Informer les instances représentatives du personnel si ce n'est pas déjà fait.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ATIH : page recueil-national-ph-2025 inaccessible (403)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Consulter directement </w:t>
            </w:r>
            <w:hyperlink w:history="1" r:id="rIdatih_champ2026">
              <w:r>
                <w:rPr>
                  <w:rFonts w:ascii="Calibri" w:cs="Calibri" w:eastAsia="Calibri" w:hAnsi="Calibri"/>
                  <w:b w:val="false"/>
                  <w:bCs w:val="false"/>
                  <w:sz w:val="20"/>
                  <w:szCs w:val="20"/>
                  <w:color w:val="1155CC"/>
                  <w:u w:val="single"/>
                </w:rPr>
                <w:t xml:space="preserve">atih.sante.fr/champ-d-activite/personnes-handicapees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 ou utiliser le portail </w:t>
            </w:r>
            <w:hyperlink w:history="1" r:id="rIdcnsa_page2026">
              <w:r>
                <w:rPr>
                  <w:rFonts w:ascii="Calibri" w:cs="Calibri" w:eastAsia="Calibri" w:hAnsi="Calibri"/>
                  <w:b w:val="false"/>
                  <w:bCs w:val="false"/>
                  <w:sz w:val="20"/>
                  <w:szCs w:val="20"/>
                  <w:color w:val="1155CC"/>
                  <w:u w:val="single"/>
                </w:rPr>
                <w:t xml:space="preserve">cnsa.fr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 pour accéder aux documents techniques.</w:t>
            </w:r>
          </w:p>
        </w:tc>
      </w:tr>
      <w:tr>
        <w:tc>
          <w:tcPr>
            <w:shd w:fill="EEF2F7" w:color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ESSMS adultes : périmètre 2027 non encore confirmé</w:t>
            </w:r>
          </w:p>
        </w:tc>
        <w:tc>
          <w:tcPr>
            <w:shd w:fill="EEF2F7" w:color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Le déploiement 2027 porte sur le secteur enfants/jeunes adultes. Le calendrier pour les ESMS adultes (dont foyers d'hébergement, FAM, MAS) n'est pas encore fixé publiquement. Maintenir la veille.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1B3A6B" w:sz="6"/>
        </w:pBdr>
        <w:spacing w:after="0" w:before="120"/>
      </w:pPr>
      <w:r>
        <w:rPr>
          <w:sz w:val="22"/>
          <w:szCs w:val="22"/>
        </w:rPr>
        <w:t xml:space="preserve"/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📅 Agenda — Prochains rendez-vous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[ ] T4 2026 : transmission par les ARS des simulations de dotations théoriques à chaque ESMS concerné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[ ] Fin 2026 : publication attendue du bilan du recueil PH 2026 (taux de participation, qualité des données)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[ ] 1er janvier 2027 : entrée en vigueur du nouveau modèle tarifaire SERAFIN-PH pour les ESMS enfants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[ ] 2027–2035 : convergence progressive sur 8 ans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[ ] À surveiller : calendrier SERAFIN-PH pour le secteur adultes (foyers d'hébergement, FAM, MAS, SAVS, SAMSAH)</w:t>
      </w:r>
    </w:p>
    <w:p>
      <w:pPr>
        <w:spacing w:after="0" w:before="120"/>
      </w:pPr>
      <w:r>
        <w:t xml:space="preserve"/>
      </w:r>
    </w:p>
    <w:p>
      <w:pPr>
        <w:pBdr>
          <w:bottom w:val="single" w:color="1B3A6B" w:sz="6"/>
        </w:pBdr>
        <w:spacing w:after="0" w:before="120"/>
      </w:pPr>
      <w:r>
        <w:rPr>
          <w:sz w:val="22"/>
          <w:szCs w:val="22"/>
        </w:rPr>
        <w:t xml:space="preserve"/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🏛️ Rappel — Rôle des acteurs SERAFIN-PH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00"/>
      </w:tblGrid>
      <w:tr>
        <w:trPr>
          <w:tblHeader/>
        </w:trPr>
        <w:tc>
          <w:tcPr>
            <w:shd w:fill="1B3A6B" w:color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Acteur</w:t>
            </w:r>
          </w:p>
        </w:tc>
        <w:tc>
          <w:tcPr>
            <w:shd w:fill="1B3A6B" w:color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Rôle dans SERAFIN-PH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DGCS (Direction générale de la cohésion sociale)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Pilotage politique de la réforme, co-responsable avec la CNSA. Rédaction des textes réglementaires (décrets, arrêtés).</w:t>
            </w:r>
          </w:p>
        </w:tc>
      </w:tr>
      <w:tr>
        <w:tc>
          <w:tcPr>
            <w:shd w:fill="EEF2F7" w:color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CNSA (Caisse nationale de solidarité pour l'autonomie)</w:t>
            </w:r>
          </w:p>
        </w:tc>
        <w:tc>
          <w:tcPr>
            <w:shd w:fill="EEF2F7" w:color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Maîtrise d'ouvrage du système d'information (SIDOBA), calcul des dotations théoriques, appui aux ARS, communication aux ESMS.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ATIH (Agence technique de l'information sur l'hospitalisation)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Recueil et traitement des données médico-économiques PH (recueil national PH). Outil RAMSECE-PH pour les établissements.</w:t>
            </w:r>
          </w:p>
        </w:tc>
      </w:tr>
      <w:tr>
        <w:tc>
          <w:tcPr>
            <w:shd w:fill="EEF2F7" w:color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ARS (Agences régionales de santé)</w:t>
            </w:r>
          </w:p>
        </w:tc>
        <w:tc>
          <w:tcPr>
            <w:shd w:fill="EEF2F7" w:color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Qualification et validation des données des ESMS de leur territoire, transmission des simulations aux structures, mobilisation régionale.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ESMS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Saisie obligatoire des données dans SIDOBA (via le portail CNSA). Réception et analyse des simulations de dotation. Préparation à la bascule 2027.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1B3A6B" w:sz="6"/>
        </w:pBdr>
        <w:spacing w:after="0" w:before="120"/>
      </w:pPr>
      <w:r>
        <w:rPr>
          <w:sz w:val="22"/>
          <w:szCs w:val="22"/>
        </w:rPr>
        <w:t xml:space="preserve"/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🔍 Récapitulatif qualité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2"/>
          <w:szCs w:val="22"/>
        </w:rPr>
        <w:t xml:space="preserve">Affirmations non sourcées dans la fenêtre stricte (26/08–02/09/2026) : aucune — la section « Actualités » est honnêtement vide.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Toutes les informations du corps de la note sont datées et sourcées.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Distinction événement / publication respectée sur toutes les entrées.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Sources hors fenêtre placées en rubrique Rappel/contexte avec date affichée.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2 sources inaccessibles (ATIH 403, FHF timeout) signalées ⛔.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Décompte sources ✅ : 4 sources consultées sur 6 tentées (</w:t>
      </w:r>
      <w:hyperlink w:history="1" r:id="rIdqual2026">
        <w:r>
          <w:rPr>
            <w:rFonts w:ascii="Calibri" w:cs="Calibri" w:eastAsia="Calibri" w:hAnsi="Calibri"/>
            <w:sz w:val="22"/>
            <w:szCs w:val="22"/>
            <w:color w:val="1155CC"/>
            <w:u w:val="single"/>
          </w:rPr>
          <w:t xml:space="preserve">qualineo.io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 = source secondaire, signalée comme telle ; Légifrance non atteint pour le décret).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Aucun fait d'actualité de mémoire — toutes les informations proviennent de sources récupérées lors de cette exécution.</w:t>
      </w:r>
    </w:p>
    <w:p>
      <w:pPr>
        <w:spacing w:after="0" w:before="200"/>
      </w:pPr>
      <w:r>
        <w:t xml:space="preserve"/>
      </w:r>
    </w:p>
    <w:p>
      <w:pPr>
        <w:pBdr>
          <w:top w:val="single" w:color="1B3A6B" w:sz="4"/>
        </w:pBdr>
        <w:spacing w:after="0" w:before="120"/>
        <w:jc w:val="center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Produit le 2 septembre 2026 | Fenêtre : 26 août 2026 – 2 septembre 2026 | Sources : 4/6 accessibles (ATIH ⛔ 403, FHF ⛔ timeout) | Semaine creuse — aucune actualité dans la fenêtre</w:t>
      </w:r>
    </w:p>
    <w:p>
      <w:pPr>
        <w:spacing w:after="120" w:before="32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📝 Journal des corrections — 12 septembre 2026</w:t>
      </w:r>
    </w:p>
    <w:p>
      <w:p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Note produite le 02/09/2026, relue le 12/09/2026 au cours d'un contrôle d'attribution des 221 documents du dépôt (règle ⑭ : une page ou un site nommé comme source doit être lié). Contenu inchangé.</w:t>
      </w:r>
    </w:p>
    <w:p>
      <w:p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Chemins et sites nommés sans lien cliquable, chacun lié le 12/09/2026 à la page qu'il désigne, testée à 200 dans un navigateur (Légifrance : 403 pour l'agent du job, lisible dans un navigateur) : handicap.gouv.fr/reforme-tarifaire-des-esms-serafin-ph-14e-reunion-du-comite-strategique → handicap.gouv.fr/reforme-tarifaire-des-esms-serafin-ph-14e-reunion-du-… (1) ; cnsa.fr/actualites/serafin-ph-preparation-du-recueil-dinformations-ph-2026 → www.cnsa.fr/actualites/serafin-ph-preparation-du-recueil-dinformations… (1) ; cnsa.fr/budget-et-financement/serafin-PH → www.cnsa.fr/budget-et-financement/serafin-PH (1) ; qualineo.io/post/decret-serafin-ph-2026 → www.qualineo.io/post/decret-serafin-ph-2026 (1) ; atih.sante.fr/recueil-national-ph-2025 → www.atih.sante.fr/recueil-national-ph-2025 (1) ; fhf.fr/expertises/autonomie/handicap/serafin-ph-ouverture-du-recueil-2026 → www.fhf.fr/expertises/autonomie/handicap/serafin-ph-ouverture-du-recue… (1) ; atih.sante.fr/champ-d-activite/personnes-handicapees → www.atih.sante.fr/champ-d-activite/personnes-handicapees (1) ; handicap.gouv.fr → handicap.gouv.fr/reforme-tarifaire-des-esms-serafin-ph-14e-reunion-du-… (3) ; cnsa.fr → www.cnsa.fr/budget-et-financement/serafin-PH (5) ; atih.sante.fr → www.atih.sante.fr/recueil-national-ph-2025 (1) ; fhf.fr → www.fhf.fr/expertises/autonomie/handicap/serafin-ph-ouverture-du-recue… (1) ; qualineo.io → www.qualineo.io/post/decret-serafin-ph-2026 (3).</w:t>
      </w:r>
    </w:p>
    <w:sectPr>
      <w:pgSz w:w="11906" w:h="16838" w:orient="portrait"/>
      <w:pgMar w:top="1134" w:right="1417" w:bottom="1134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c142026" Type="http://schemas.openxmlformats.org/officeDocument/2006/relationships/hyperlink" Target="https://handicap.gouv.fr/reforme-tarifaire-des-esms-serafin-ph-14e-reunion-du-comite-strategique" TargetMode="External"/><Relationship Id="rIdcnsa_actu2026" Type="http://schemas.openxmlformats.org/officeDocument/2006/relationships/hyperlink" Target="https://www.cnsa.fr/actualites/serafin-ph-preparation-du-recueil-dinformations-ph-2026-en-vue-du-deploiement-du-futur" TargetMode="External"/><Relationship Id="rIdcnsa_page2026" Type="http://schemas.openxmlformats.org/officeDocument/2006/relationships/hyperlink" Target="https://www.cnsa.fr/budget-et-financement/serafin-PH" TargetMode="External"/><Relationship Id="rIdqual2026" Type="http://schemas.openxmlformats.org/officeDocument/2006/relationships/hyperlink" Target="https://www.qualineo.io/post/decret-serafin-ph-2026" TargetMode="External"/><Relationship Id="rIdatih252026" Type="http://schemas.openxmlformats.org/officeDocument/2006/relationships/hyperlink" Target="https://www.atih.sante.fr/recueil-national-ph-2025" TargetMode="External"/><Relationship Id="rIdfhf2026" Type="http://schemas.openxmlformats.org/officeDocument/2006/relationships/hyperlink" Target="https://www.fhf.fr/expertises/autonomie/handicap/serafin-ph-ouverture-du-recueil-2026" TargetMode="External"/><Relationship Id="rIdatih_champ2026" Type="http://schemas.openxmlformats.org/officeDocument/2006/relationships/hyperlink" Target="https://www.atih.sante.fr/champ-d-activite/personnes-handicapees" TargetMode="Externa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2026-09-02T06:07:57.701Z</dcterms:created>
  <dcterms:modified xsi:type="dcterms:W3CDTF">2026-09-02T06:07:57.702Z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