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color w:val="1B3A6B"/>
          <w:sz w:val="56"/>
          <w:szCs w:val="56"/>
        </w:rPr>
        <w:t xml:space="preserve">Veille AI Act — Compte-rendu hebdomadaire</w:t>
      </w:r>
    </w:p>
    <w:p>
      <w:pPr>
        <w:spacing w:after="60" w:before="0"/>
        <w:jc w:val="center"/>
      </w:pPr>
      <w:r>
        <w:rPr>
          <w:rFonts w:ascii="Calibri" w:cs="Calibri" w:eastAsia="Calibri" w:hAnsi="Calibri"/>
          <w:color w:val="1F2937"/>
          <w:sz w:val="28"/>
          <w:szCs w:val="28"/>
        </w:rPr>
        <w:t xml:space="preserve">2026-07-19</w:t>
      </w:r>
      <w:r>
        <w:rPr>
          <w:rFonts w:ascii="Calibri" w:cs="Calibri" w:eastAsia="Calibri" w:hAnsi="Calibri"/>
          <w:color w:val="1F2937"/>
          <w:sz w:val="28"/>
          <w:szCs w:val="28"/>
        </w:rPr>
        <w:t xml:space="preserve">  ·  Niveau d'alerte : </w:t>
      </w:r>
      <w:r>
        <w:rPr>
          <w:rFonts w:ascii="Calibri" w:cs="Calibri" w:eastAsia="Calibri" w:hAnsi="Calibri"/>
          <w:b/>
          <w:bCs/>
          <w:color w:val="E67E00"/>
          <w:sz w:val="28"/>
          <w:szCs w:val="28"/>
        </w:rPr>
        <w:t xml:space="preserve">🟡 À surveiller</w:t>
      </w:r>
      <w:r>
        <w:rPr>
          <w:rFonts w:ascii="Calibri" w:cs="Calibri" w:eastAsia="Calibri" w:hAnsi="Calibri"/>
          <w:color w:val="1F2937"/>
          <w:sz w:val="28"/>
          <w:szCs w:val="28"/>
        </w:rPr>
        <w:t xml:space="preserve">  ·  Sources : 4✅ + 2⚠️ / 7</w:t>
      </w:r>
    </w:p>
    <w:p>
      <w:pPr>
        <w:spacing w:after="40" w:before="40"/>
      </w:pPr>
    </w:p>
    <w:p>
      <w:pPr>
        <w:pBdr>
          <w:bottom w:val="single" w:color="1B3A6B" w:sz="6"/>
        </w:pBdr>
        <w:spacing w:after="100" w:before="280"/>
      </w:pPr>
      <w:r>
        <w:rPr>
          <w:rFonts w:ascii="Calibri" w:cs="Calibri" w:eastAsia="Calibri" w:hAnsi="Calibri"/>
          <w:b/>
          <w:bCs/>
          <w:color w:val="1B3A6B"/>
          <w:sz w:val="30"/>
          <w:szCs w:val="30"/>
        </w:rPr>
        <w:t xml:space="preserve">🔵 En bref — Faits marquants de la semaine (12-19 juillet 2026)</w:t>
      </w:r>
    </w:p>
    <w:p>
      <w:pPr>
        <w:pStyle w:val="ListParagraph"/>
        <w:numPr>
          <w:ilvl w:val="0"/>
          <w:numId w:val="1"/>
        </w:numPr>
        <w:spacing w:after="40" w:before="40"/>
      </w:pPr>
      <w:r>
        <w:rPr>
          <w:rFonts w:ascii="Calibri" w:cs="Calibri" w:eastAsia="Calibri" w:hAnsi="Calibri"/>
          <w:color w:val="1F2937"/>
          <w:sz w:val="22"/>
          <w:szCs w:val="22"/>
        </w:rPr>
        <w:t xml:space="preserve">Cloud and AI Development Act proposé (16 juil. 2026) — La Commission européenne a publié le Cloud Sovereignty Framework et proposé un nouveau règlement Cloud and AI Development Act, créant des métriques standardisées sur 8 dimensions pour évaluer la conformité des fournisseurs cloud/IA aux objectifs de souveraineté numérique de l'UE.</w:t>
      </w:r>
    </w:p>
    <w:p>
      <w:pPr>
        <w:pStyle w:val="ListParagraph"/>
        <w:numPr>
          <w:ilvl w:val="0"/>
          <w:numId w:val="1"/>
        </w:numPr>
        <w:spacing w:after="40" w:before="40"/>
      </w:pPr>
      <w:r>
        <w:rPr>
          <w:rFonts w:ascii="Calibri" w:cs="Calibri" w:eastAsia="Calibri" w:hAnsi="Calibri"/>
          <w:color w:val="1F2937"/>
          <w:sz w:val="22"/>
          <w:szCs w:val="22"/>
        </w:rPr>
        <w:t xml:space="preserve">AI Act : les échéances bougent, les questionnaires non (15 juil. 2026, IAPP) — Malgré le report des obligations systèmes haut-risque par le Digital Omnibus, les équipes procurement des entreprises maintiennent leur pression sur les fournisseurs via des questionnaires de gouvernance IA : la première pression réelle sur les fournisseurs non-UE viendra de leurs clients avant les régulateurs.</w:t>
      </w:r>
    </w:p>
    <w:p>
      <w:pPr>
        <w:pStyle w:val="ListParagraph"/>
        <w:numPr>
          <w:ilvl w:val="0"/>
          <w:numId w:val="1"/>
        </w:numPr>
        <w:spacing w:after="40" w:before="40"/>
      </w:pPr>
      <w:r>
        <w:rPr>
          <w:rFonts w:ascii="Calibri" w:cs="Calibri" w:eastAsia="Calibri" w:hAnsi="Calibri"/>
          <w:color w:val="1F2937"/>
          <w:sz w:val="22"/>
          <w:szCs w:val="22"/>
        </w:rPr>
        <w:t xml:space="preserve">Transparence IA — au-delà du marquage de contenu (15 juil. 2026, IAPP) — Une analyse souligne que les frameworks de transparence IA doivent évoluer vers des signaux de gouvernance lisibles par machine, permettant aux systèmes IA de comprendre et d'appliquer les droits d'usage attachés aux contenus.</w:t>
      </w:r>
    </w:p>
    <w:p>
      <w:pPr>
        <w:pStyle w:val="ListParagraph"/>
        <w:numPr>
          <w:ilvl w:val="0"/>
          <w:numId w:val="1"/>
        </w:numPr>
        <w:spacing w:after="40" w:before="40"/>
      </w:pPr>
      <w:r>
        <w:rPr>
          <w:rFonts w:ascii="Calibri" w:cs="Calibri" w:eastAsia="Calibri" w:hAnsi="Calibri"/>
          <w:color w:val="1F2937"/>
          <w:sz w:val="22"/>
          <w:szCs w:val="22"/>
        </w:rPr>
        <w:t xml:space="preserve">Plan d'action UE — Cybersécurité et IA (7 juil. 2026, Commission) — La Commission a présenté une approche coordonnée face aux défis de cybersécurité posés par les modèles IA avancés ; un dispositif d'évaluation UE des modèles IA de frontière (capacity call) sera opérationnel d'ici 2027.</w:t>
      </w:r>
    </w:p>
    <w:p>
      <w:pPr>
        <w:pStyle w:val="ListParagraph"/>
        <w:numPr>
          <w:ilvl w:val="0"/>
          <w:numId w:val="1"/>
        </w:numPr>
        <w:spacing w:after="40" w:before="40"/>
      </w:pPr>
      <w:r>
        <w:rPr>
          <w:rFonts w:ascii="Calibri" w:cs="Calibri" w:eastAsia="Calibri" w:hAnsi="Calibri"/>
          <w:color w:val="1F2937"/>
          <w:sz w:val="22"/>
          <w:szCs w:val="22"/>
        </w:rPr>
        <w:t xml:space="preserve">Feu vert définitif du Conseil — Digital Omnibus (29 juin 2026) — Le Conseil a adopté définitivement le règlement de simplification de l'AI Act, confirmant les dates reportées (2 déc. 2027 / 2 août 2028 pour le haut risque) et ajoutant une interdiction des deepfakes sexuels non consentis et du CSAM dès le 2 décembre 2026.</w:t>
      </w:r>
    </w:p>
    <w:p>
      <w:pPr>
        <w:spacing w:after="40" w:before="40"/>
      </w:pPr>
    </w:p>
    <w:p>
      <w:pPr>
        <w:pBdr>
          <w:bottom w:val="single" w:color="1B3A6B" w:sz="6"/>
        </w:pBdr>
        <w:spacing w:after="100" w:before="280"/>
      </w:pPr>
      <w:r>
        <w:rPr>
          <w:rFonts w:ascii="Calibri" w:cs="Calibri" w:eastAsia="Calibri" w:hAnsi="Calibri"/>
          <w:b/>
          <w:bCs/>
          <w:color w:val="1B3A6B"/>
          <w:sz w:val="30"/>
          <w:szCs w:val="30"/>
        </w:rPr>
        <w:t xml:space="preserve">📅 Échéances réglementaires à venir</w:t>
      </w:r>
    </w:p>
    <w:p>
      <w:pPr>
        <w:pStyle w:val="ListParagraph"/>
        <w:numPr>
          <w:ilvl w:val="0"/>
          <w:numId w:val="1"/>
        </w:numPr>
        <w:spacing w:after="40" w:before="40"/>
      </w:pPr>
      <w:r>
        <w:rPr>
          <w:rFonts w:ascii="Calibri" w:cs="Calibri" w:eastAsia="Calibri" w:hAnsi="Calibri"/>
          <w:b/>
          <w:bCs/>
          <w:color w:val="1F2937"/>
          <w:sz w:val="22"/>
          <w:szCs w:val="22"/>
        </w:rPr>
        <w:t xml:space="preserve">2 août 2026 (dans 14 jours) : </w:t>
      </w:r>
      <w:r>
        <w:rPr>
          <w:rFonts w:ascii="Calibri" w:cs="Calibri" w:eastAsia="Calibri" w:hAnsi="Calibri"/>
          <w:color w:val="1F2937"/>
          <w:sz w:val="22"/>
          <w:szCs w:val="22"/>
        </w:rPr>
        <w:t xml:space="preserve">Transparence (art. 50) — obligation d'informer que des contenus sont générés/assistés par IA ; gouvernance et pouvoirs d'exécution effectifs (Commission, AI Office sur les GPAI).</w:t>
      </w:r>
    </w:p>
    <w:p>
      <w:pPr>
        <w:pStyle w:val="ListParagraph"/>
        <w:numPr>
          <w:ilvl w:val="0"/>
          <w:numId w:val="1"/>
        </w:numPr>
        <w:spacing w:after="40" w:before="40"/>
      </w:pPr>
      <w:r>
        <w:rPr>
          <w:rFonts w:ascii="Calibri" w:cs="Calibri" w:eastAsia="Calibri" w:hAnsi="Calibri"/>
          <w:b/>
          <w:bCs/>
          <w:color w:val="1F2937"/>
          <w:sz w:val="22"/>
          <w:szCs w:val="22"/>
        </w:rPr>
        <w:t xml:space="preserve">2 décembre 2026 : </w:t>
      </w:r>
      <w:r>
        <w:rPr>
          <w:rFonts w:ascii="Calibri" w:cs="Calibri" w:eastAsia="Calibri" w:hAnsi="Calibri"/>
          <w:color w:val="1F2937"/>
          <w:sz w:val="22"/>
          <w:szCs w:val="22"/>
        </w:rPr>
        <w:t xml:space="preserve">Nouvelles interdictions — marquage des contenus IA générés (délai réduit de 6 à 3 mois) ; interdiction des deepfakes sexuels non consentis et du CSAM.</w:t>
      </w:r>
    </w:p>
    <w:p>
      <w:pPr>
        <w:pStyle w:val="ListParagraph"/>
        <w:numPr>
          <w:ilvl w:val="0"/>
          <w:numId w:val="1"/>
        </w:numPr>
        <w:spacing w:after="40" w:before="40"/>
      </w:pPr>
      <w:r>
        <w:rPr>
          <w:rFonts w:ascii="Calibri" w:cs="Calibri" w:eastAsia="Calibri" w:hAnsi="Calibri"/>
          <w:b/>
          <w:bCs/>
          <w:color w:val="1F2937"/>
          <w:sz w:val="22"/>
          <w:szCs w:val="22"/>
        </w:rPr>
        <w:t xml:space="preserve">2 août 2027 : </w:t>
      </w:r>
      <w:r>
        <w:rPr>
          <w:rFonts w:ascii="Calibri" w:cs="Calibri" w:eastAsia="Calibri" w:hAnsi="Calibri"/>
          <w:color w:val="1F2937"/>
          <w:sz w:val="22"/>
          <w:szCs w:val="22"/>
        </w:rPr>
        <w:t xml:space="preserve">Au moins un bac à sable réglementaire IA par État membre (délai repoussé vs. 2026 initial).</w:t>
      </w:r>
    </w:p>
    <w:p>
      <w:pPr>
        <w:pStyle w:val="ListParagraph"/>
        <w:numPr>
          <w:ilvl w:val="0"/>
          <w:numId w:val="1"/>
        </w:numPr>
        <w:spacing w:after="40" w:before="40"/>
      </w:pPr>
      <w:r>
        <w:rPr>
          <w:rFonts w:ascii="Calibri" w:cs="Calibri" w:eastAsia="Calibri" w:hAnsi="Calibri"/>
          <w:b/>
          <w:bCs/>
          <w:color w:val="1F2937"/>
          <w:sz w:val="22"/>
          <w:szCs w:val="22"/>
        </w:rPr>
        <w:t xml:space="preserve">2 décembre 2027 : </w:t>
      </w:r>
      <w:r>
        <w:rPr>
          <w:rFonts w:ascii="Calibri" w:cs="Calibri" w:eastAsia="Calibri" w:hAnsi="Calibri"/>
          <w:color w:val="1F2937"/>
          <w:sz w:val="22"/>
          <w:szCs w:val="22"/>
        </w:rPr>
        <w:t xml:space="preserve">Application des règles pour systèmes IA à haut risque autonomes (Annexe III — biométrie, emploi, accès services essentiels...).</w:t>
      </w:r>
    </w:p>
    <w:p>
      <w:pPr>
        <w:pStyle w:val="ListParagraph"/>
        <w:numPr>
          <w:ilvl w:val="0"/>
          <w:numId w:val="1"/>
        </w:numPr>
        <w:spacing w:after="40" w:before="40"/>
      </w:pPr>
      <w:r>
        <w:rPr>
          <w:rFonts w:ascii="Calibri" w:cs="Calibri" w:eastAsia="Calibri" w:hAnsi="Calibri"/>
          <w:b/>
          <w:bCs/>
          <w:color w:val="1F2937"/>
          <w:sz w:val="22"/>
          <w:szCs w:val="22"/>
        </w:rPr>
        <w:t xml:space="preserve">2 août 2028 : </w:t>
      </w:r>
      <w:r>
        <w:rPr>
          <w:rFonts w:ascii="Calibri" w:cs="Calibri" w:eastAsia="Calibri" w:hAnsi="Calibri"/>
          <w:color w:val="1F2937"/>
          <w:sz w:val="22"/>
          <w:szCs w:val="22"/>
        </w:rPr>
        <w:t xml:space="preserve">Application complète — systèmes IA à haut risque intégrés dans produits réglementés (Annexe I).</w:t>
      </w:r>
    </w:p>
    <w:p>
      <w:pPr>
        <w:spacing w:after="40" w:before="40"/>
      </w:pPr>
    </w:p>
    <w:p>
      <w:pPr>
        <w:pBdr>
          <w:bottom w:val="single" w:color="1B3A6B" w:sz="6"/>
        </w:pBdr>
        <w:spacing w:after="100" w:before="280"/>
      </w:pPr>
      <w:r>
        <w:rPr>
          <w:rFonts w:ascii="Calibri" w:cs="Calibri" w:eastAsia="Calibri" w:hAnsi="Calibri"/>
          <w:b/>
          <w:bCs/>
          <w:color w:val="1B3A6B"/>
          <w:sz w:val="30"/>
          <w:szCs w:val="30"/>
        </w:rPr>
        <w:t xml:space="preserve">🏛️ Actualité officielle UE</w:t>
      </w:r>
    </w:p>
    <w:p>
      <w:pPr>
        <w:spacing w:after="60" w:before="60"/>
      </w:pPr>
      <w:r>
        <w:rPr>
          <w:rFonts w:ascii="Calibri" w:cs="Calibri" w:eastAsia="Calibri" w:hAnsi="Calibri"/>
          <w:b/>
          <w:bCs/>
          <w:color w:val="1B3A6B"/>
          <w:sz w:val="22"/>
          <w:szCs w:val="22"/>
        </w:rPr>
        <w:t xml:space="preserve">Commission européenne — digital-strategy.ec.europa.eu</w:t>
      </w:r>
    </w:p>
    <w:p>
      <w:pPr>
        <w:spacing w:after="20" w:before="80"/>
      </w:pPr>
      <w:hyperlink w:history="1" r:id="rIdrqtdai_crosbbf2oqla68">
        <w:r>
          <w:rPr>
            <w:rFonts w:ascii="Calibri" w:cs="Calibri" w:eastAsia="Calibri" w:hAnsi="Calibri"/>
            <w:b/>
            <w:bCs/>
            <w:color w:val="1155CC"/>
            <w:sz w:val="22"/>
            <w:szCs w:val="22"/>
            <w:u w:val="single"/>
          </w:rPr>
          <w:t xml:space="preserve">Commission presents EU Action Plan on Cybersecurity and Artificial Intelligence</w:t>
        </w:r>
      </w:hyperlink>
      <w:r>
        <w:rPr>
          <w:rFonts w:ascii="Calibri" w:cs="Calibri" w:eastAsia="Calibri" w:hAnsi="Calibri"/>
          <w:i/>
          <w:iCs/>
          <w:color w:val="6B7280"/>
          <w:sz w:val="20"/>
          <w:szCs w:val="20"/>
        </w:rPr>
        <w:t xml:space="preserve">  ·  7 juillet 2026</w:t>
      </w:r>
    </w:p>
    <w:p>
      <w:pPr>
        <w:spacing w:after="60" w:before="20"/>
      </w:pPr>
      <w:r>
        <w:rPr>
          <w:rFonts w:ascii="Calibri" w:cs="Calibri" w:eastAsia="Calibri" w:hAnsi="Calibri"/>
          <w:color w:val="1F2937"/>
          <w:sz w:val="22"/>
          <w:szCs w:val="22"/>
        </w:rPr>
        <w:t xml:space="preserve">La Commission a dévoilé une approche coordonnée pour adresser les défis de cybersécurité et de résilience posés par les modèles IA avancés. Un dispositif d'évaluation européen des modèles IA frontier (capacity call) sera opérationnel d'ici 2027.</w:t>
      </w:r>
    </w:p>
    <w:p>
      <w:pPr>
        <w:spacing w:after="20" w:before="80"/>
      </w:pPr>
      <w:hyperlink w:history="1" r:id="rIdlncoe2d8axotnfaokvtxd">
        <w:r>
          <w:rPr>
            <w:rFonts w:ascii="Calibri" w:cs="Calibri" w:eastAsia="Calibri" w:hAnsi="Calibri"/>
            <w:b/>
            <w:bCs/>
            <w:color w:val="1155CC"/>
            <w:sz w:val="22"/>
            <w:szCs w:val="22"/>
            <w:u w:val="single"/>
          </w:rPr>
          <w:t xml:space="preserve">Commission selects EUROPA consortium as winner of Frontier AI Grand Challenge</w:t>
        </w:r>
      </w:hyperlink>
      <w:r>
        <w:rPr>
          <w:rFonts w:ascii="Calibri" w:cs="Calibri" w:eastAsia="Calibri" w:hAnsi="Calibri"/>
          <w:i/>
          <w:iCs/>
          <w:color w:val="6B7280"/>
          <w:sz w:val="20"/>
          <w:szCs w:val="20"/>
        </w:rPr>
        <w:t xml:space="preserve">  ·  19 juin 2026</w:t>
      </w:r>
    </w:p>
    <w:p>
      <w:pPr>
        <w:spacing w:after="60" w:before="20"/>
      </w:pPr>
      <w:r>
        <w:rPr>
          <w:rFonts w:ascii="Calibri" w:cs="Calibri" w:eastAsia="Calibri" w:hAnsi="Calibri"/>
          <w:color w:val="1F2937"/>
          <w:sz w:val="22"/>
          <w:szCs w:val="22"/>
        </w:rPr>
        <w:t xml:space="preserve">Le consortium EUROPA a remporté la compétition pour développer un modèle IA frontier open-source capable de fonctionner dans les 24 langues officielles de l'UE.</w:t>
      </w:r>
    </w:p>
    <w:p>
      <w:pPr>
        <w:spacing w:after="20" w:before="80"/>
      </w:pPr>
      <w:hyperlink w:history="1" r:id="rIdkwbowtmqhoclu8cqtrcst">
        <w:r>
          <w:rPr>
            <w:rFonts w:ascii="Calibri" w:cs="Calibri" w:eastAsia="Calibri" w:hAnsi="Calibri"/>
            <w:b/>
            <w:bCs/>
            <w:color w:val="1155CC"/>
            <w:sz w:val="22"/>
            <w:szCs w:val="22"/>
            <w:u w:val="single"/>
          </w:rPr>
          <w:t xml:space="preserve">Commission publishes Code of Practice on marking and labelling AI-generated content</w:t>
        </w:r>
      </w:hyperlink>
      <w:r>
        <w:rPr>
          <w:rFonts w:ascii="Calibri" w:cs="Calibri" w:eastAsia="Calibri" w:hAnsi="Calibri"/>
          <w:i/>
          <w:iCs/>
          <w:color w:val="6B7280"/>
          <w:sz w:val="20"/>
          <w:szCs w:val="20"/>
        </w:rPr>
        <w:t xml:space="preserve">  ·  10 juin 2026</w:t>
      </w:r>
    </w:p>
    <w:p>
      <w:pPr>
        <w:spacing w:after="60" w:before="20"/>
      </w:pPr>
      <w:r>
        <w:rPr>
          <w:rFonts w:ascii="Calibri" w:cs="Calibri" w:eastAsia="Calibri" w:hAnsi="Calibri"/>
          <w:color w:val="1F2937"/>
          <w:sz w:val="22"/>
          <w:szCs w:val="22"/>
        </w:rPr>
        <w:t xml:space="preserve">Outil de conformité volontaire publié pour guider fournisseurs et déployeurs dans le marquage des contenus IA générés (texte, images, audio) — anticipe l'obligation du 2 décembre 2026.</w:t>
      </w:r>
    </w:p>
    <w:p>
      <w:pPr>
        <w:spacing w:after="60" w:before="60"/>
      </w:pPr>
      <w:r>
        <w:rPr>
          <w:rFonts w:ascii="Calibri" w:cs="Calibri" w:eastAsia="Calibri" w:hAnsi="Calibri"/>
          <w:b/>
          <w:bCs/>
          <w:color w:val="1B3A6B"/>
          <w:sz w:val="22"/>
          <w:szCs w:val="22"/>
        </w:rPr>
        <w:t xml:space="preserve">Conseil de l'UE — extraits WebSearch ⚠️</w:t>
      </w:r>
    </w:p>
    <w:p>
      <w:pPr>
        <w:spacing w:after="20" w:before="80"/>
      </w:pPr>
      <w:hyperlink w:history="1" r:id="rIdiqir3dskjaqyknp_u3j9m">
        <w:r>
          <w:rPr>
            <w:rFonts w:ascii="Calibri" w:cs="Calibri" w:eastAsia="Calibri" w:hAnsi="Calibri"/>
            <w:b/>
            <w:bCs/>
            <w:color w:val="1155CC"/>
            <w:sz w:val="22"/>
            <w:szCs w:val="22"/>
            <w:u w:val="single"/>
          </w:rPr>
          <w:t xml:space="preserve">Artificial Intelligence: Council gives final green light to simplify and streamline rules</w:t>
        </w:r>
      </w:hyperlink>
      <w:r>
        <w:rPr>
          <w:rFonts w:ascii="Calibri" w:cs="Calibri" w:eastAsia="Calibri" w:hAnsi="Calibri"/>
          <w:i/>
          <w:iCs/>
          <w:color w:val="6B7280"/>
          <w:sz w:val="20"/>
          <w:szCs w:val="20"/>
        </w:rPr>
        <w:t xml:space="preserve">  ·  29 juin 2026</w:t>
      </w:r>
    </w:p>
    <w:p>
      <w:pPr>
        <w:spacing w:after="60" w:before="20"/>
      </w:pPr>
      <w:r>
        <w:rPr>
          <w:rFonts w:ascii="Calibri" w:cs="Calibri" w:eastAsia="Calibri" w:hAnsi="Calibri"/>
          <w:color w:val="1F2937"/>
          <w:sz w:val="22"/>
          <w:szCs w:val="22"/>
        </w:rPr>
        <w:t xml:space="preserve">Le Conseil a adopté définitivement le règlement Digital Omnibus simplifiant l'AI Act. Confirmés : report au 2 déc. 2027 (systèmes haut-risque autonomes) et au 2 août 2028 (IA intégrée à des produits) ; nouvelle interdiction des deepfakes sexuels non consentis et du CSAM (2 déc. 2026) ; sandboxes nationales repoussées au 2 août 2027.</w:t>
      </w:r>
    </w:p>
    <w:p>
      <w:pPr>
        <w:spacing w:after="60" w:before="60"/>
      </w:pPr>
      <w:r>
        <w:rPr>
          <w:rFonts w:ascii="Calibri" w:cs="Calibri" w:eastAsia="Calibri" w:hAnsi="Calibri"/>
          <w:b/>
          <w:bCs/>
          <w:color w:val="1B3A6B"/>
          <w:sz w:val="22"/>
          <w:szCs w:val="22"/>
        </w:rPr>
        <w:t xml:space="preserve">Service desk AI Act — Calendrier officiel</w:t>
      </w:r>
    </w:p>
    <w:p>
      <w:pPr>
        <w:spacing w:after="60" w:before="60"/>
      </w:pPr>
      <w:r>
        <w:rPr>
          <w:rFonts w:ascii="Calibri" w:cs="Calibri" w:eastAsia="Calibri" w:hAnsi="Calibri"/>
          <w:b w:val="false"/>
          <w:bCs w:val="false"/>
          <w:color w:val="1F2937"/>
          <w:sz w:val="22"/>
          <w:szCs w:val="22"/>
        </w:rPr>
        <w:t xml:space="preserve">Calendrier d'application vérifié ce jour sur ai-act-service-desk.ec.europa.eu : les dates confirmées sont 2 août 2026 (transparence), 2 décembre 2026 (deepfakes/marquage), 2 août 2027 (sandboxes), 2 décembre 2027 (haut risque Annexe III), 2 août 2028 (haut risque Annexe I). Ce calendrier tient compte des modifications apportées par le Digital Omnibus (feu vert Conseil 29 juin 2026).</w:t>
      </w:r>
    </w:p>
    <w:p>
      <w:pPr>
        <w:spacing w:after="40" w:before="40"/>
      </w:pPr>
    </w:p>
    <w:p>
      <w:pPr>
        <w:pBdr>
          <w:bottom w:val="single" w:color="1B3A6B" w:sz="6"/>
        </w:pBdr>
        <w:spacing w:after="100" w:before="280"/>
      </w:pPr>
      <w:r>
        <w:rPr>
          <w:rFonts w:ascii="Calibri" w:cs="Calibri" w:eastAsia="Calibri" w:hAnsi="Calibri"/>
          <w:b/>
          <w:bCs/>
          <w:color w:val="1B3A6B"/>
          <w:sz w:val="30"/>
          <w:szCs w:val="30"/>
        </w:rPr>
        <w:t xml:space="preserve">📰 Analyses &amp; gouvernance</w:t>
      </w:r>
    </w:p>
    <w:p>
      <w:pPr>
        <w:spacing w:after="60" w:before="60"/>
      </w:pPr>
      <w:r>
        <w:rPr>
          <w:rFonts w:ascii="Calibri" w:cs="Calibri" w:eastAsia="Calibri" w:hAnsi="Calibri"/>
          <w:b/>
          <w:bCs/>
          <w:color w:val="1B3A6B"/>
          <w:sz w:val="22"/>
          <w:szCs w:val="22"/>
        </w:rPr>
        <w:t xml:space="preserve">IAPP — iapp.org (sources directes ✅)</w:t>
      </w:r>
    </w:p>
    <w:p>
      <w:pPr>
        <w:spacing w:after="20" w:before="80"/>
      </w:pPr>
      <w:hyperlink w:history="1" r:id="rIdbz8phij5bmmm1wzgob2yz">
        <w:r>
          <w:rPr>
            <w:rFonts w:ascii="Calibri" w:cs="Calibri" w:eastAsia="Calibri" w:hAnsi="Calibri"/>
            <w:b/>
            <w:bCs/>
            <w:color w:val="1155CC"/>
            <w:sz w:val="22"/>
            <w:szCs w:val="22"/>
            <w:u w:val="single"/>
          </w:rPr>
          <w:t xml:space="preserve">The EU AI Act deadline moved, vendor questionnaires will not</w:t>
        </w:r>
      </w:hyperlink>
      <w:r>
        <w:rPr>
          <w:rFonts w:ascii="Calibri" w:cs="Calibri" w:eastAsia="Calibri" w:hAnsi="Calibri"/>
          <w:i/>
          <w:iCs/>
          <w:color w:val="6B7280"/>
          <w:sz w:val="20"/>
          <w:szCs w:val="20"/>
        </w:rPr>
        <w:t xml:space="preserve">  ·  15 juillet 2026</w:t>
      </w:r>
    </w:p>
    <w:p>
      <w:pPr>
        <w:spacing w:after="60" w:before="20"/>
      </w:pPr>
      <w:r>
        <w:rPr>
          <w:rFonts w:ascii="Calibri" w:cs="Calibri" w:eastAsia="Calibri" w:hAnsi="Calibri"/>
          <w:color w:val="1F2937"/>
          <w:sz w:val="22"/>
          <w:szCs w:val="22"/>
        </w:rPr>
        <w:t xml:space="preserve">Malgré le report des échéances haut-risque, les équipes procurement continuent d'exiger des preuves de gouvernance IA de leurs fournisseurs. La première pression réelle sur les fournisseurs non-UE viendra des questionnaires clients, avant toute action réglementaire formelle.</w:t>
      </w:r>
    </w:p>
    <w:p>
      <w:pPr>
        <w:spacing w:after="20" w:before="80"/>
      </w:pPr>
      <w:hyperlink w:history="1" r:id="rIde7hfgdlujrcer5yrypisf">
        <w:r>
          <w:rPr>
            <w:rFonts w:ascii="Calibri" w:cs="Calibri" w:eastAsia="Calibri" w:hAnsi="Calibri"/>
            <w:b/>
            <w:bCs/>
            <w:color w:val="1155CC"/>
            <w:sz w:val="22"/>
            <w:szCs w:val="22"/>
            <w:u w:val="single"/>
          </w:rPr>
          <w:t xml:space="preserve">The missing layer in AI transparency: From content marking to machine-readable data governance</w:t>
        </w:r>
      </w:hyperlink>
      <w:r>
        <w:rPr>
          <w:rFonts w:ascii="Calibri" w:cs="Calibri" w:eastAsia="Calibri" w:hAnsi="Calibri"/>
          <w:i/>
          <w:iCs/>
          <w:color w:val="6B7280"/>
          <w:sz w:val="20"/>
          <w:szCs w:val="20"/>
        </w:rPr>
        <w:t xml:space="preserve">  ·  15 juillet 2026</w:t>
      </w:r>
    </w:p>
    <w:p>
      <w:pPr>
        <w:spacing w:after="60" w:before="20"/>
      </w:pPr>
      <w:r>
        <w:rPr>
          <w:rFonts w:ascii="Calibri" w:cs="Calibri" w:eastAsia="Calibri" w:hAnsi="Calibri"/>
          <w:color w:val="1F2937"/>
          <w:sz w:val="22"/>
          <w:szCs w:val="22"/>
        </w:rPr>
        <w:t xml:space="preserve">Les frameworks de transparence IA doivent dépasser le simple marquage de contenu pour inclure des signaux de gouvernance lisibles par machine, permettant aux systèmes IA de comprendre et appliquer les droits d'usage attachés aux données et contenus.</w:t>
      </w:r>
    </w:p>
    <w:p>
      <w:pPr>
        <w:spacing w:after="20" w:before="80"/>
      </w:pPr>
      <w:hyperlink w:history="1" r:id="rIdp4nhutj2xtaf0qjzv6tbj">
        <w:r>
          <w:rPr>
            <w:rFonts w:ascii="Calibri" w:cs="Calibri" w:eastAsia="Calibri" w:hAnsi="Calibri"/>
            <w:b/>
            <w:bCs/>
            <w:color w:val="1155CC"/>
            <w:sz w:val="22"/>
            <w:szCs w:val="22"/>
            <w:u w:val="single"/>
          </w:rPr>
          <w:t xml:space="preserve">EU debuts new digital sovereignty assessment tools</w:t>
        </w:r>
      </w:hyperlink>
      <w:r>
        <w:rPr>
          <w:rFonts w:ascii="Calibri" w:cs="Calibri" w:eastAsia="Calibri" w:hAnsi="Calibri"/>
          <w:i/>
          <w:iCs/>
          <w:color w:val="6B7280"/>
          <w:sz w:val="20"/>
          <w:szCs w:val="20"/>
        </w:rPr>
        <w:t xml:space="preserve">  ·  16 juillet 2026</w:t>
      </w:r>
    </w:p>
    <w:p>
      <w:pPr>
        <w:spacing w:after="60" w:before="20"/>
      </w:pPr>
      <w:r>
        <w:rPr>
          <w:rFonts w:ascii="Calibri" w:cs="Calibri" w:eastAsia="Calibri" w:hAnsi="Calibri"/>
          <w:color w:val="1F2937"/>
          <w:sz w:val="22"/>
          <w:szCs w:val="22"/>
        </w:rPr>
        <w:t xml:space="preserve">La Commission européenne a publié le Cloud Sovereignty Framework et proposé le Cloud and AI Development Act, créant des métriques standardisées sur 8 dimensions pour évaluer la conformité des fournisseurs cloud/IA aux objectifs de souveraineté numérique de l'UE.</w:t>
      </w:r>
    </w:p>
    <w:p>
      <w:pPr>
        <w:spacing w:after="60" w:before="60"/>
      </w:pPr>
      <w:r>
        <w:rPr>
          <w:rFonts w:ascii="Calibri" w:cs="Calibri" w:eastAsia="Calibri" w:hAnsi="Calibri"/>
          <w:b w:val="false"/>
          <w:bCs w:val="false"/>
          <w:color w:val="6B7280"/>
          <w:sz w:val="22"/>
          <w:szCs w:val="22"/>
        </w:rPr>
        <w:t xml:space="preserve">artificialintelligenceact.eu — ⛔ (rendu JS, non accessible en headless)</w:t>
      </w:r>
    </w:p>
    <w:p>
      <w:pPr>
        <w:spacing w:after="60" w:before="60"/>
      </w:pPr>
      <w:r>
        <w:rPr>
          <w:rFonts w:ascii="Calibri" w:cs="Calibri" w:eastAsia="Calibri" w:hAnsi="Calibri"/>
          <w:b w:val="false"/>
          <w:bCs w:val="false"/>
          <w:color w:val="6B7280"/>
          <w:sz w:val="22"/>
          <w:szCs w:val="22"/>
        </w:rPr>
        <w:t xml:space="preserve">Extraits WebSearch : le site confirme la création du Scientific Panel d'experts indépendants (7 juillet 2026) pour soutenir l'enforcement des règles GPAI, et l'établissement de l'Advisory Forum (19 juin 2026) comme organe consultatif de la Commission et de l'AI Board. Ces éléments proviennent d'extraits de recherche ⚠️ (non lus directement).</w:t>
      </w:r>
    </w:p>
    <w:p>
      <w:pPr>
        <w:spacing w:after="40" w:before="40"/>
      </w:pPr>
    </w:p>
    <w:p>
      <w:pPr>
        <w:pBdr>
          <w:bottom w:val="single" w:color="1B3A6B" w:sz="6"/>
        </w:pBdr>
        <w:spacing w:after="100" w:before="280"/>
      </w:pPr>
      <w:r>
        <w:rPr>
          <w:rFonts w:ascii="Calibri" w:cs="Calibri" w:eastAsia="Calibri" w:hAnsi="Calibri"/>
          <w:b/>
          <w:bCs/>
          <w:color w:val="1B3A6B"/>
          <w:sz w:val="30"/>
          <w:szCs w:val="30"/>
        </w:rPr>
        <w:t xml:space="preserve">🇫🇷 Perspective française — CNIL / RGPD</w:t>
      </w:r>
    </w:p>
    <w:p>
      <w:pPr>
        <w:spacing w:after="20" w:before="80"/>
      </w:pPr>
      <w:hyperlink w:history="1" r:id="rIdbc-au72ljsydvyfbfzomh">
        <w:r>
          <w:rPr>
            <w:rFonts w:ascii="Calibri" w:cs="Calibri" w:eastAsia="Calibri" w:hAnsi="Calibri"/>
            <w:b/>
            <w:bCs/>
            <w:color w:val="1155CC"/>
            <w:sz w:val="22"/>
            <w:szCs w:val="22"/>
            <w:u w:val="single"/>
          </w:rPr>
          <w:t xml:space="preserve">Le CEPD met en lumière l'anonymisation et le moissonnage pour l'IA générative</w:t>
        </w:r>
      </w:hyperlink>
      <w:r>
        <w:rPr>
          <w:rFonts w:ascii="Calibri" w:cs="Calibri" w:eastAsia="Calibri" w:hAnsi="Calibri"/>
          <w:i/>
          <w:iCs/>
          <w:color w:val="6B7280"/>
          <w:sz w:val="20"/>
          <w:szCs w:val="20"/>
        </w:rPr>
        <w:t xml:space="preserve">  ·  9 juillet 2026</w:t>
      </w:r>
    </w:p>
    <w:p>
      <w:pPr>
        <w:spacing w:after="60" w:before="20"/>
      </w:pPr>
      <w:r>
        <w:rPr>
          <w:rFonts w:ascii="Calibri" w:cs="Calibri" w:eastAsia="Calibri" w:hAnsi="Calibri"/>
          <w:color w:val="1F2937"/>
          <w:sz w:val="22"/>
          <w:szCs w:val="22"/>
        </w:rPr>
        <w:t xml:space="preserve">Le Comité européen de la protection des données (CEPD/EDPB) a adopté des lignes directrices sur l'anonymisation et le moissonnage appliqués à l'IA générative, ainsi que la version finale de directives sur les chaînes de blocs. Ces lignes directrices éclairent la base légale des données servant à alimenter une IA — point de vigilance direct pour tout projet IA en établissement.</w:t>
      </w:r>
    </w:p>
    <w:p>
      <w:pPr>
        <w:spacing w:after="20" w:before="80"/>
      </w:pPr>
      <w:hyperlink w:history="1" r:id="rIdilgex6xy3qzvoah9iowq0">
        <w:r>
          <w:rPr>
            <w:rFonts w:ascii="Calibri" w:cs="Calibri" w:eastAsia="Calibri" w:hAnsi="Calibri"/>
            <w:b/>
            <w:bCs/>
            <w:color w:val="1155CC"/>
            <w:sz w:val="22"/>
            <w:szCs w:val="22"/>
            <w:u w:val="single"/>
          </w:rPr>
          <w:t xml:space="preserve">IA générative et vie privée : affiche PIPC-CNIL</w:t>
        </w:r>
      </w:hyperlink>
      <w:r>
        <w:rPr>
          <w:rFonts w:ascii="Calibri" w:cs="Calibri" w:eastAsia="Calibri" w:hAnsi="Calibri"/>
          <w:i/>
          <w:iCs/>
          <w:color w:val="6B7280"/>
          <w:sz w:val="20"/>
          <w:szCs w:val="20"/>
        </w:rPr>
        <w:t xml:space="preserve">  ·  27 mai 2026</w:t>
      </w:r>
    </w:p>
    <w:p>
      <w:pPr>
        <w:spacing w:after="60" w:before="20"/>
      </w:pPr>
      <w:r>
        <w:rPr>
          <w:rFonts w:ascii="Calibri" w:cs="Calibri" w:eastAsia="Calibri" w:hAnsi="Calibri"/>
          <w:color w:val="1F2937"/>
          <w:sz w:val="22"/>
          <w:szCs w:val="22"/>
        </w:rPr>
        <w:t xml:space="preserve">La CNIL et la PIPC (Corée du Sud) ont produit une affiche pédagogique sur la protection des données personnelles lors de l'utilisation d'outils d'IA générative — ressource directement utilisable pour informer les équipes.</w:t>
      </w:r>
    </w:p>
    <w:p>
      <w:pPr>
        <w:spacing w:after="60" w:before="60"/>
      </w:pPr>
      <w:r>
        <w:rPr>
          <w:rFonts w:ascii="Calibri" w:cs="Calibri" w:eastAsia="Calibri" w:hAnsi="Calibri"/>
          <w:b w:val="false"/>
          <w:bCs w:val="false"/>
          <w:color w:val="6B7280"/>
          <w:sz w:val="22"/>
          <w:szCs w:val="22"/>
        </w:rPr>
        <w:t xml:space="preserve">Note : les articles CNIL antérieurs à la semaine de référence (12-19 juillet 2026) sont signalés ici à titre de contexte uniquement.</w:t>
      </w:r>
    </w:p>
    <w:p>
      <w:pPr>
        <w:spacing w:after="40" w:before="40"/>
      </w:pPr>
    </w:p>
    <w:p>
      <w:pPr>
        <w:pBdr>
          <w:bottom w:val="single" w:color="1B3A6B" w:sz="6"/>
        </w:pBdr>
        <w:spacing w:after="100" w:before="280"/>
      </w:pPr>
      <w:r>
        <w:rPr>
          <w:rFonts w:ascii="Calibri" w:cs="Calibri" w:eastAsia="Calibri" w:hAnsi="Calibri"/>
          <w:b/>
          <w:bCs/>
          <w:color w:val="1B3A6B"/>
          <w:sz w:val="30"/>
          <w:szCs w:val="30"/>
        </w:rPr>
        <w:t xml:space="preserve">⚠️ Impacts pour les ESSMS — Points de vigilance</w:t>
      </w:r>
    </w:p>
    <w:p>
      <w:pPr>
        <w:pStyle w:val="ListParagraph"/>
        <w:numPr>
          <w:ilvl w:val="0"/>
          <w:numId w:val="1"/>
        </w:numPr>
        <w:spacing w:after="40" w:before="40"/>
      </w:pPr>
      <w:r>
        <w:rPr>
          <w:rFonts w:ascii="Calibri" w:cs="Calibri" w:eastAsia="Calibri" w:hAnsi="Calibri"/>
          <w:color w:val="1F2937"/>
          <w:sz w:val="22"/>
          <w:szCs w:val="22"/>
        </w:rPr>
        <w:t xml:space="preserve">Transparence (art. 50) — ÉCHÉANCE 2 AOÛT 2026 (14 jours) : si un outil d'IA génère ou assiste des écrits (comptes-rendus, évaluations, courriers, supports de formation), prévoir une information claire et explicite des personnes accompagnées et de leurs représentants. Cette obligation NE bénéficie PAS du report Digital Omnibus.</w:t>
      </w:r>
    </w:p>
    <w:p>
      <w:pPr>
        <w:pStyle w:val="ListParagraph"/>
        <w:numPr>
          <w:ilvl w:val="0"/>
          <w:numId w:val="1"/>
        </w:numPr>
        <w:spacing w:after="40" w:before="40"/>
      </w:pPr>
      <w:r>
        <w:rPr>
          <w:rFonts w:ascii="Calibri" w:cs="Calibri" w:eastAsia="Calibri" w:hAnsi="Calibri"/>
          <w:color w:val="1F2937"/>
          <w:sz w:val="22"/>
          <w:szCs w:val="22"/>
        </w:rPr>
        <w:t xml:space="preserve">Marquage des contenus IA : se préparer à l'obligation du 2 décembre 2026 — tout contenu textuel, image ou audio généré par IA devra porter une indication visible. Anticiper la politique interne sur les outils IA utilisés en établissement.</w:t>
      </w:r>
    </w:p>
    <w:p>
      <w:pPr>
        <w:pStyle w:val="ListParagraph"/>
        <w:numPr>
          <w:ilvl w:val="0"/>
          <w:numId w:val="1"/>
        </w:numPr>
        <w:spacing w:after="40" w:before="40"/>
      </w:pPr>
      <w:r>
        <w:rPr>
          <w:rFonts w:ascii="Calibri" w:cs="Calibri" w:eastAsia="Calibri" w:hAnsi="Calibri"/>
          <w:color w:val="1F2937"/>
          <w:sz w:val="22"/>
          <w:szCs w:val="22"/>
        </w:rPr>
        <w:t xml:space="preserve">Cartographie des usages IA : le report des obligations haut-risque au 2 déc. 2027 laisse du temps — mais recenser dès maintenant les outils IA utilisés (aide à la rédaction, planification, analyse, DUI…) et leur niveau de risque est une démarche de bonne gestion.</w:t>
      </w:r>
    </w:p>
    <w:p>
      <w:pPr>
        <w:pStyle w:val="ListParagraph"/>
        <w:numPr>
          <w:ilvl w:val="0"/>
          <w:numId w:val="1"/>
        </w:numPr>
        <w:spacing w:after="40" w:before="40"/>
      </w:pPr>
      <w:r>
        <w:rPr>
          <w:rFonts w:ascii="Calibri" w:cs="Calibri" w:eastAsia="Calibri" w:hAnsi="Calibri"/>
          <w:color w:val="1F2937"/>
          <w:sz w:val="22"/>
          <w:szCs w:val="22"/>
        </w:rPr>
        <w:t xml:space="preserve">Données et RGPD : les lignes directrices CEPD du 9 juillet 2026 sur l'anonymisation pour l'IA générative renforcent l'obligation de justifier la base légale des données utilisées dans tout projet IA. Articuler avec le DPO.</w:t>
      </w:r>
    </w:p>
    <w:p>
      <w:pPr>
        <w:pStyle w:val="ListParagraph"/>
        <w:numPr>
          <w:ilvl w:val="0"/>
          <w:numId w:val="1"/>
        </w:numPr>
        <w:spacing w:after="40" w:before="40"/>
      </w:pPr>
      <w:r>
        <w:rPr>
          <w:rFonts w:ascii="Calibri" w:cs="Calibri" w:eastAsia="Calibri" w:hAnsi="Calibri"/>
          <w:color w:val="1F2937"/>
          <w:sz w:val="22"/>
          <w:szCs w:val="22"/>
        </w:rPr>
        <w:t xml:space="preserve">Vigilance procurement : même sans obligation réglementaire immédiate sur le haut risque, les fournisseurs d'outils IA (logiciels, DUI avec IA, planification…) vont recevoir des questionnaires de gouvernance IA — demander des garanties contractuelles de conformité AI Act.</w:t>
      </w:r>
    </w:p>
    <w:p>
      <w:pPr>
        <w:pStyle w:val="ListParagraph"/>
        <w:numPr>
          <w:ilvl w:val="0"/>
          <w:numId w:val="1"/>
        </w:numPr>
        <w:spacing w:after="40" w:before="40"/>
      </w:pPr>
      <w:r>
        <w:rPr>
          <w:rFonts w:ascii="Calibri" w:cs="Calibri" w:eastAsia="Calibri" w:hAnsi="Calibri"/>
          <w:color w:val="1F2937"/>
          <w:sz w:val="22"/>
          <w:szCs w:val="22"/>
        </w:rPr>
        <w:t xml:space="preserve">Formation des équipes : l'obligation de littératie IA (art. 4) est en vigueur depuis février 2025. S'assurer que les professionnels utilisant des outils IA ont reçu une formation appropriée à leur niveau d'usage.</w:t>
      </w:r>
    </w:p>
    <w:p>
      <w:pPr>
        <w:spacing w:after="40" w:before="40"/>
      </w:pPr>
    </w:p>
    <w:p>
      <w:pPr>
        <w:pBdr>
          <w:bottom w:val="single" w:color="1B3A6B" w:sz="6"/>
        </w:pBdr>
        <w:spacing w:after="100" w:before="280"/>
      </w:pPr>
      <w:r>
        <w:rPr>
          <w:rFonts w:ascii="Calibri" w:cs="Calibri" w:eastAsia="Calibri" w:hAnsi="Calibri"/>
          <w:b/>
          <w:bCs/>
          <w:color w:val="1B3A6B"/>
          <w:sz w:val="30"/>
          <w:szCs w:val="30"/>
        </w:rPr>
        <w:t xml:space="preserve">📚 Sources consultées ce jour</w:t>
      </w:r>
    </w:p>
    <w:p>
      <w:pPr>
        <w:spacing w:after="60" w:before="60"/>
      </w:pPr>
      <w:r>
        <w:rPr>
          <w:rFonts w:ascii="Calibri" w:cs="Calibri" w:eastAsia="Calibri" w:hAnsi="Calibri"/>
          <w:b w:val="false"/>
          <w:bCs w:val="false"/>
          <w:color w:val="1F2937"/>
          <w:sz w:val="22"/>
          <w:szCs w:val="22"/>
        </w:rPr>
        <w:t xml:space="preserve">✅ Sources directement lues (WebFetch)</w:t>
      </w:r>
    </w:p>
    <w:p>
      <w:pPr>
        <w:spacing w:after="40" w:before="40"/>
      </w:pPr>
      <w:hyperlink w:history="1" r:id="rIdgfacak4ianoqje8y-inag">
        <w:r>
          <w:rPr>
            <w:rFonts w:ascii="Calibri" w:cs="Calibri" w:eastAsia="Calibri" w:hAnsi="Calibri"/>
            <w:color w:val="1155CC"/>
            <w:sz w:val="22"/>
            <w:szCs w:val="22"/>
            <w:u w:val="single"/>
          </w:rPr>
          <w:t xml:space="preserve">Commission européenne — Regulatory framework on AI (digital-strategy.ec.europa.eu)</w:t>
        </w:r>
      </w:hyperlink>
    </w:p>
    <w:p>
      <w:pPr>
        <w:spacing w:after="40" w:before="40"/>
      </w:pPr>
      <w:hyperlink w:history="1" r:id="rIdvbrauqpr4docqihov62_j">
        <w:r>
          <w:rPr>
            <w:rFonts w:ascii="Calibri" w:cs="Calibri" w:eastAsia="Calibri" w:hAnsi="Calibri"/>
            <w:color w:val="1155CC"/>
            <w:sz w:val="22"/>
            <w:szCs w:val="22"/>
            <w:u w:val="single"/>
          </w:rPr>
          <w:t xml:space="preserve">AI Act Service Desk — Calendrier d'application (ai-act-service-desk.ec.europa.eu)</w:t>
        </w:r>
      </w:hyperlink>
    </w:p>
    <w:p>
      <w:pPr>
        <w:spacing w:after="40" w:before="40"/>
      </w:pPr>
      <w:hyperlink w:history="1" r:id="rIdjemm2_8i-8gwnypbmunqa">
        <w:r>
          <w:rPr>
            <w:rFonts w:ascii="Calibri" w:cs="Calibri" w:eastAsia="Calibri" w:hAnsi="Calibri"/>
            <w:color w:val="1155CC"/>
            <w:sz w:val="22"/>
            <w:szCs w:val="22"/>
            <w:u w:val="single"/>
          </w:rPr>
          <w:t xml:space="preserve">IAPP — News (iapp.org)</w:t>
        </w:r>
      </w:hyperlink>
    </w:p>
    <w:p>
      <w:pPr>
        <w:spacing w:after="40" w:before="40"/>
      </w:pPr>
      <w:hyperlink w:history="1" r:id="rIdsbzfbyqv1irio9ugpqgxi">
        <w:r>
          <w:rPr>
            <w:rFonts w:ascii="Calibri" w:cs="Calibri" w:eastAsia="Calibri" w:hAnsi="Calibri"/>
            <w:color w:val="1155CC"/>
            <w:sz w:val="22"/>
            <w:szCs w:val="22"/>
            <w:u w:val="single"/>
          </w:rPr>
          <w:t xml:space="preserve">CNIL — Intelligence artificielle (cnil.fr)</w:t>
        </w:r>
      </w:hyperlink>
    </w:p>
    <w:p>
      <w:pPr>
        <w:spacing w:after="40" w:before="40"/>
      </w:pPr>
    </w:p>
    <w:p>
      <w:pPr>
        <w:spacing w:after="60" w:before="60"/>
      </w:pPr>
      <w:r>
        <w:rPr>
          <w:rFonts w:ascii="Calibri" w:cs="Calibri" w:eastAsia="Calibri" w:hAnsi="Calibri"/>
          <w:b w:val="false"/>
          <w:bCs w:val="false"/>
          <w:color w:val="1F2937"/>
          <w:sz w:val="22"/>
          <w:szCs w:val="22"/>
        </w:rPr>
        <w:t xml:space="preserve">⚠️ Sources accessibles via extraits WebSearch uniquement</w:t>
      </w:r>
    </w:p>
    <w:p>
      <w:pPr>
        <w:spacing w:after="40" w:before="40"/>
      </w:pPr>
      <w:hyperlink w:history="1" r:id="rIdusjbvmxcezbyv3rb6kf2k">
        <w:r>
          <w:rPr>
            <w:rFonts w:ascii="Calibri" w:cs="Calibri" w:eastAsia="Calibri" w:hAnsi="Calibri"/>
            <w:color w:val="1155CC"/>
            <w:sz w:val="22"/>
            <w:szCs w:val="22"/>
            <w:u w:val="single"/>
          </w:rPr>
          <w:t xml:space="preserve">Conseil de l'UE — Communiqués de presse (consilium.europa.eu)</w:t>
        </w:r>
      </w:hyperlink>
    </w:p>
    <w:p>
      <w:pPr>
        <w:spacing w:after="40" w:before="40"/>
      </w:pPr>
      <w:hyperlink w:history="1" r:id="rIdxg-g8htdrsuzspamwkb6v">
        <w:r>
          <w:rPr>
            <w:rFonts w:ascii="Calibri" w:cs="Calibri" w:eastAsia="Calibri" w:hAnsi="Calibri"/>
            <w:color w:val="1155CC"/>
            <w:sz w:val="22"/>
            <w:szCs w:val="22"/>
            <w:u w:val="single"/>
          </w:rPr>
          <w:t xml:space="preserve">Future of Life Institute — EU AI Act (artificialintelligenceact.eu)</w:t>
        </w:r>
      </w:hyperlink>
    </w:p>
    <w:p>
      <w:pPr>
        <w:spacing w:after="40" w:before="40"/>
      </w:pPr>
    </w:p>
    <w:p>
      <w:pPr>
        <w:spacing w:after="60" w:before="60"/>
      </w:pPr>
      <w:r>
        <w:rPr>
          <w:rFonts w:ascii="Calibri" w:cs="Calibri" w:eastAsia="Calibri" w:hAnsi="Calibri"/>
          <w:b w:val="false"/>
          <w:bCs w:val="false"/>
          <w:color w:val="1F2937"/>
          <w:sz w:val="22"/>
          <w:szCs w:val="22"/>
        </w:rPr>
        <w:t xml:space="preserve">⛔ Sources non accessibles en headless (rendu JS)</w:t>
      </w:r>
    </w:p>
    <w:p>
      <w:pPr>
        <w:spacing w:after="60" w:before="60"/>
      </w:pPr>
      <w:r>
        <w:rPr>
          <w:rFonts w:ascii="Calibri" w:cs="Calibri" w:eastAsia="Calibri" w:hAnsi="Calibri"/>
          <w:b w:val="false"/>
          <w:bCs w:val="false"/>
          <w:color w:val="1F2937"/>
          <w:sz w:val="22"/>
          <w:szCs w:val="22"/>
        </w:rPr>
        <w:t xml:space="preserve">• </w:t>
      </w:r>
      <w:hyperlink w:history="1" r:id="rIdanalyses2026">
        <w:r>
          <w:rPr>
            <w:rFonts w:ascii="Calibri" w:cs="Calibri" w:eastAsia="Calibri" w:hAnsi="Calibri"/>
            <w:b w:val="false"/>
            <w:bCs w:val="false"/>
            <w:sz w:val="22"/>
            <w:szCs w:val="22"/>
            <w:color w:val="1155CC"/>
            <w:u w:val="single"/>
          </w:rPr>
          <w:t xml:space="preserve">artificialintelligenceact.eu/analyses/</w:t>
        </w:r>
      </w:hyperlink>
      <w:r>
        <w:rPr>
          <w:rFonts w:ascii="Calibri" w:cs="Calibri" w:eastAsia="Calibri" w:hAnsi="Calibri"/>
          <w:b w:val="false"/>
          <w:bCs w:val="false"/>
          <w:color w:val="1F2937"/>
          <w:sz w:val="22"/>
          <w:szCs w:val="22"/>
        </w:rPr>
        <w:t xml:space="preserve"> — rendu JavaScript côté client, contenu non extractible</w:t>
      </w:r>
    </w:p>
    <w:p>
      <w:pPr>
        <w:spacing w:after="40" w:before="40"/>
      </w:pPr>
    </w:p>
    <w:p>
      <w:pPr>
        <w:pBdr>
          <w:bottom w:val="single" w:color="1B3A6B" w:sz="6"/>
        </w:pBdr>
        <w:spacing w:after="100" w:before="280"/>
      </w:pPr>
      <w:r>
        <w:rPr>
          <w:rFonts w:ascii="Calibri" w:cs="Calibri" w:eastAsia="Calibri" w:hAnsi="Calibri"/>
          <w:b/>
          <w:bCs/>
          <w:color w:val="1B3A6B"/>
          <w:sz w:val="30"/>
          <w:szCs w:val="30"/>
        </w:rPr>
        <w:t xml:space="preserve">🔜 À surveiller</w:t>
      </w:r>
    </w:p>
    <w:p>
      <w:pPr>
        <w:pStyle w:val="ListParagraph"/>
        <w:numPr>
          <w:ilvl w:val="0"/>
          <w:numId w:val="1"/>
        </w:numPr>
        <w:spacing w:after="40" w:before="40"/>
      </w:pPr>
      <w:r>
        <w:rPr>
          <w:rFonts w:ascii="Calibri" w:cs="Calibri" w:eastAsia="Calibri" w:hAnsi="Calibri"/>
          <w:color w:val="1F2937"/>
          <w:sz w:val="22"/>
          <w:szCs w:val="22"/>
        </w:rPr>
        <w:t xml:space="preserve">2 août 2026 (dans 14 jours) : entrée en vigueur effective de l'art. 50 (transparence contenus IA) et des pouvoirs d'exécution de l'AI Office sur les GPAI — surveiller les premiers actes d'exécution.</w:t>
      </w:r>
    </w:p>
    <w:p>
      <w:pPr>
        <w:pStyle w:val="ListParagraph"/>
        <w:numPr>
          <w:ilvl w:val="0"/>
          <w:numId w:val="1"/>
        </w:numPr>
        <w:spacing w:after="40" w:before="40"/>
      </w:pPr>
      <w:r>
        <w:rPr>
          <w:rFonts w:ascii="Calibri" w:cs="Calibri" w:eastAsia="Calibri" w:hAnsi="Calibri"/>
          <w:color w:val="1F2937"/>
          <w:sz w:val="22"/>
          <w:szCs w:val="22"/>
        </w:rPr>
        <w:t xml:space="preserve">Publication du règlement Digital Omnibus au Journal officiel de l'UE — entrée en vigueur 3 jours après publication ; confirmation des nouvelles dates.</w:t>
      </w:r>
    </w:p>
    <w:p>
      <w:pPr>
        <w:pStyle w:val="ListParagraph"/>
        <w:numPr>
          <w:ilvl w:val="0"/>
          <w:numId w:val="1"/>
        </w:numPr>
        <w:spacing w:after="40" w:before="40"/>
      </w:pPr>
      <w:r>
        <w:rPr>
          <w:rFonts w:ascii="Calibri" w:cs="Calibri" w:eastAsia="Calibri" w:hAnsi="Calibri"/>
          <w:color w:val="1F2937"/>
          <w:sz w:val="22"/>
          <w:szCs w:val="22"/>
        </w:rPr>
        <w:t xml:space="preserve">Cloud and AI Development Act (proposé 16 juil. 2026) : suivre le processus législatif et les implications pour les contrats cloud des établissements.</w:t>
      </w:r>
    </w:p>
    <w:p>
      <w:pPr>
        <w:pStyle w:val="ListParagraph"/>
        <w:numPr>
          <w:ilvl w:val="0"/>
          <w:numId w:val="1"/>
        </w:numPr>
        <w:spacing w:after="40" w:before="40"/>
      </w:pPr>
      <w:r>
        <w:rPr>
          <w:rFonts w:ascii="Calibri" w:cs="Calibri" w:eastAsia="Calibri" w:hAnsi="Calibri"/>
          <w:color w:val="1F2937"/>
          <w:sz w:val="22"/>
          <w:szCs w:val="22"/>
        </w:rPr>
        <w:t xml:space="preserve">Consultation EDPB (web scraping / IA générative) — ouverte, clôture prévue le 30 octobre 2026.</w:t>
      </w:r>
    </w:p>
    <w:p>
      <w:pPr>
        <w:pStyle w:val="ListParagraph"/>
        <w:numPr>
          <w:ilvl w:val="0"/>
          <w:numId w:val="1"/>
        </w:numPr>
        <w:spacing w:after="40" w:before="40"/>
      </w:pPr>
      <w:r>
        <w:rPr>
          <w:rFonts w:ascii="Calibri" w:cs="Calibri" w:eastAsia="Calibri" w:hAnsi="Calibri"/>
          <w:color w:val="1F2937"/>
          <w:sz w:val="22"/>
          <w:szCs w:val="22"/>
        </w:rPr>
        <w:t xml:space="preserve">Premières décisions de l'AI Office sur les modèles GPAI après le 2 août 2026.</w:t>
      </w:r>
    </w:p>
    <w:p>
      <w:pPr>
        <w:spacing w:after="40" w:before="40"/>
      </w:pPr>
    </w:p>
    <w:p>
      <w:pPr>
        <w:spacing w:after="0" w:before="200"/>
        <w:jc w:val="center"/>
      </w:pPr>
      <w:r>
        <w:rPr>
          <w:rFonts w:ascii="Calibri" w:cs="Calibri" w:eastAsia="Calibri" w:hAnsi="Calibri"/>
          <w:i/>
          <w:iCs/>
          <w:color w:val="6B7280"/>
          <w:sz w:val="18"/>
          <w:szCs w:val="18"/>
        </w:rPr>
        <w:t xml:space="preserve">Compte-rendu produit le 2026-07-19 | Niveau d'alerte : 🟡 À surveiller | 4✅ + 2⚠️ / 7 sources</w:t>
      </w:r>
    </w:p>
    <w:p>
      <w:pPr>
        <w:spacing w:after="120" w:before="320"/>
      </w:pPr>
      <w:r>
        <w:rPr>
          <w:rFonts w:ascii="Calibri" w:cs="Calibri" w:eastAsia="Calibri" w:hAnsi="Calibri"/>
          <w:b/>
          <w:bCs/>
          <w:color w:val="1B3A6B"/>
          <w:sz w:val="28"/>
          <w:szCs w:val="28"/>
        </w:rPr>
        <w:t xml:space="preserve">📝 Journal des corrections — 12 septembre 2026</w:t>
      </w:r>
    </w:p>
    <w:p>
      <w:pPr>
        <w:spacing w:after="80"/>
      </w:pPr>
      <w:r>
        <w:rPr>
          <w:rFonts w:ascii="Calibri" w:cs="Calibri" w:eastAsia="Calibri" w:hAnsi="Calibri"/>
          <w:color w:val="1F2937"/>
          <w:sz w:val="22"/>
          <w:szCs w:val="22"/>
        </w:rPr>
        <w:t xml:space="preserve">Note produite le 19/07/2026, relue le 12/09/2026 au cours d'un contrôle d'attribution des 221 documents du dépôt (règle ⑭ : une page nommée comme source doit être liée). Contenu inchangé.</w:t>
      </w:r>
    </w:p>
    <w:p>
      <w:pPr>
        <w:spacing w:after="80"/>
      </w:pPr>
      <w:r>
        <w:rPr>
          <w:rFonts w:ascii="Calibri" w:cs="Calibri" w:eastAsia="Calibri" w:hAnsi="Calibri"/>
          <w:color w:val="1F2937"/>
          <w:sz w:val="22"/>
          <w:szCs w:val="22"/>
        </w:rPr>
        <w:t xml:space="preserve">Pages nommées sans lien cliquable, liées le 12/09/2026 : artificialintelligenceact.eu/analyses/ → artificialintelligenceact.eu/analyses/ (1).</w:t>
      </w:r>
    </w:p>
    <w:p>
      <w:pPr>
        <w:spacing w:after="80"/>
      </w:pPr>
      <w:r>
        <w:rPr>
          <w:rFonts w:ascii="Calibri" w:cs="Calibri" w:eastAsia="Calibri" w:hAnsi="Calibri"/>
          <w:color w:val="1F2937"/>
          <w:sz w:val="22"/>
          <w:szCs w:val="22"/>
        </w:rPr>
        <w:t xml:space="preserve">La page ⛔ « artificialintelligenceact.eu/analyses/ — rendu JavaScript côté client, contenu non extractible » répond 200 et 241 589 octets à un navigateur le 12/09/2026 : c'est l'agent du job qu'elle refuse (règle 10). Liée ; le ⛔ de ce jour-là est conservé.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qtdai_crosbbf2oqla68" Type="http://schemas.openxmlformats.org/officeDocument/2006/relationships/hyperlink" Target="https://digital-strategy.ec.europa.eu/en/news/commission-presents-eu-action-plan-cybersecurity-and-artificial-intelligence" TargetMode="External"/><Relationship Id="rIdlncoe2d8axotnfaokvtxd" Type="http://schemas.openxmlformats.org/officeDocument/2006/relationships/hyperlink" Target="https://digital-strategy.ec.europa.eu/en/news/commission-selects-europa-consortium-winner-frontier-ai-grand-challenge-project-build-european-open" TargetMode="External"/><Relationship Id="rIdkwbowtmqhoclu8cqtrcst" Type="http://schemas.openxmlformats.org/officeDocument/2006/relationships/hyperlink" Target="https://digital-strategy.ec.europa.eu/en/news/commission-publishes-code-practice-marking-and-labelling-ai-generated-content" TargetMode="External"/><Relationship Id="rIdiqir3dskjaqyknp_u3j9m" Type="http://schemas.openxmlformats.org/officeDocument/2006/relationships/hyperlink" Target="https://www.consilium.europa.eu/en/press/press-releases/2026/06/29/artificial-intelligence-council-gives-final-green-light-to-simplify-and-streamline-rules/" TargetMode="External"/><Relationship Id="rIdbz8phij5bmmm1wzgob2yz" Type="http://schemas.openxmlformats.org/officeDocument/2006/relationships/hyperlink" Target="https://iapp.org/news/a/the-eu-ai-act-deadline-moved-vendor-questionnaires-will-not" TargetMode="External"/><Relationship Id="rIde7hfgdlujrcer5yrypisf" Type="http://schemas.openxmlformats.org/officeDocument/2006/relationships/hyperlink" Target="https://iapp.org/news/a/the-missing-layer-in-ai-transparency-from-content-marking-to-machine-readable-data-governance" TargetMode="External"/><Relationship Id="rIdp4nhutj2xtaf0qjzv6tbj" Type="http://schemas.openxmlformats.org/officeDocument/2006/relationships/hyperlink" Target="https://iapp.org/news/a/eu-debuts-new-digital-sovereignty-assessment-tools" TargetMode="External"/><Relationship Id="rIdbc-au72ljsydvyfbfzomh" Type="http://schemas.openxmlformats.org/officeDocument/2006/relationships/hyperlink" Target="https://www.cnil.fr/fr/cepd-ia-generative-chaines-blocs" TargetMode="External"/><Relationship Id="rIdilgex6xy3qzvoah9iowq0" Type="http://schemas.openxmlformats.org/officeDocument/2006/relationships/hyperlink" Target="https://www.cnil.fr/fr/ia-generative-et-vie-privee-affiche-coproduite-pipc-cnil" TargetMode="External"/><Relationship Id="rIdgfacak4ianoqje8y-inag" Type="http://schemas.openxmlformats.org/officeDocument/2006/relationships/hyperlink" Target="https://digital-strategy.ec.europa.eu/en/policies/regulatory-framework-ai" TargetMode="External"/><Relationship Id="rIdvbrauqpr4docqihov62_j" Type="http://schemas.openxmlformats.org/officeDocument/2006/relationships/hyperlink" Target="https://ai-act-service-desk.ec.europa.eu/en/ai-act/timeline/timeline-implementation-eu-ai-act" TargetMode="External"/><Relationship Id="rIdjemm2_8i-8gwnypbmunqa" Type="http://schemas.openxmlformats.org/officeDocument/2006/relationships/hyperlink" Target="https://iapp.org/news/" TargetMode="External"/><Relationship Id="rIdsbzfbyqv1irio9ugpqgxi" Type="http://schemas.openxmlformats.org/officeDocument/2006/relationships/hyperlink" Target="https://www.cnil.fr/fr/intelligence-artificielle" TargetMode="External"/><Relationship Id="rIdusjbvmxcezbyv3rb6kf2k" Type="http://schemas.openxmlformats.org/officeDocument/2006/relationships/hyperlink" Target="https://www.consilium.europa.eu/en/press/press-releases/" TargetMode="External"/><Relationship Id="rIdxg-g8htdrsuzspamwkb6v" Type="http://schemas.openxmlformats.org/officeDocument/2006/relationships/hyperlink" Target="https://artificialintelligenceact.eu/" TargetMode="External"/><Relationship Id="rId22" Type="http://schemas.openxmlformats.org/officeDocument/2006/relationships/fontTable" Target="fontTable.xml"/><Relationship Id="rIdanalyses2026" Type="http://schemas.openxmlformats.org/officeDocument/2006/relationships/hyperlink" Target="https://artificialintelligenceact.eu/analyses/" TargetMode="Externa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2026-07-19T05:06:59.930Z</dcterms:created>
  <dcterms:modified xsi:type="dcterms:W3CDTF">2026-07-19T05:06:59.931Z</dcterms:modified>
</cp:coreProperties>
</file>

<file path=docProps/custom.xml><?xml version="1.0" encoding="utf-8"?>
<Properties xmlns="http://schemas.openxmlformats.org/officeDocument/2006/custom-properties" xmlns:vt="http://schemas.openxmlformats.org/officeDocument/2006/docPropsVTypes"/>
</file>