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i w:val="false"/>
          <w:iCs w:val="false"/>
          <w:color w:val="1B3A6B"/>
          <w:sz w:val="56"/>
          <w:szCs w:val="56"/>
        </w:rPr>
        <w:t xml:space="preserve">Veille AI Act — Compte-rendu</w:t>
      </w:r>
    </w:p>
    <w:p>
      <w:pPr>
        <w:spacing w:after="40" w:before="0"/>
        <w:jc w:val="center"/>
      </w:pPr>
      <w:r>
        <w:rPr>
          <w:rFonts w:ascii="Calibri" w:cs="Calibri" w:eastAsia="Calibri" w:hAnsi="Calibri"/>
          <w:b w:val="false"/>
          <w:bCs w:val="false"/>
          <w:i w:val="false"/>
          <w:iCs w:val="false"/>
          <w:color w:val="6B7280"/>
          <w:sz w:val="20"/>
          <w:szCs w:val="20"/>
        </w:rPr>
        <w:t xml:space="preserve">17 octobre 2026 — déclenchement MANUEL, hors créneau (le créneau du job est le vendredi 9h03)</w:t>
      </w:r>
    </w:p>
    <w:p>
      <w:pPr>
        <w:spacing w:after="40" w:before="0"/>
        <w:jc w:val="center"/>
      </w:pPr>
      <w:r>
        <w:rPr>
          <w:rFonts w:ascii="Calibri" w:cs="Calibri" w:eastAsia="Calibri" w:hAnsi="Calibri"/>
          <w:b/>
          <w:bCs/>
          <w:i w:val="false"/>
          <w:iCs w:val="false"/>
          <w:color w:val="15803D"/>
          <w:sz w:val="22"/>
          <w:szCs w:val="22"/>
        </w:rPr>
        <w:t xml:space="preserve">🟢 Niveau d'alerte : VERT — compte-rendu ALLÉGÉ, aucune nouveauté dans la fenêtre</w:t>
      </w:r>
    </w:p>
    <w:p>
      <w:pPr>
        <w:spacing w:after="40" w:before="0"/>
        <w:jc w:val="center"/>
      </w:pPr>
      <w:r>
        <w:rPr>
          <w:rFonts w:ascii="Calibri" w:cs="Calibri" w:eastAsia="Calibri" w:hAnsi="Calibri"/>
          <w:b w:val="false"/>
          <w:bCs w:val="false"/>
          <w:i w:val="false"/>
          <w:iCs w:val="false"/>
          <w:color w:val="6B7280"/>
          <w:sz w:val="20"/>
          <w:szCs w:val="20"/>
        </w:rPr>
        <w:t xml:space="preserve">Fenêtre couverte : 10 → 17 octobre 2026 · Faits marquants : 0</w:t>
      </w:r>
    </w:p>
    <w:p>
      <w:pPr>
        <w:spacing w:after="200" w:before="0"/>
        <w:jc w:val="center"/>
      </w:pPr>
      <w:r>
        <w:rPr>
          <w:rFonts w:ascii="Calibri" w:cs="Calibri" w:eastAsia="Calibri" w:hAnsi="Calibri"/>
          <w:b w:val="false"/>
          <w:bCs w:val="false"/>
          <w:i w:val="false"/>
          <w:iCs w:val="false"/>
          <w:color w:val="6B7280"/>
          <w:sz w:val="20"/>
          <w:szCs w:val="20"/>
        </w:rPr>
        <w:t xml:space="preserve">Sources : 8 tentées — 4 ✅ exploitées, 3 ⚠ consultées sans élément nouveau, 1 ⛔ inaccessible</w:t>
      </w:r>
    </w:p>
    <w:p>
      <w:pPr>
        <w:spacing w:after="120" w:before="280"/>
        <w:jc w:val="left"/>
      </w:pPr>
      <w:r>
        <w:rPr>
          <w:rFonts w:ascii="Calibri" w:cs="Calibri" w:eastAsia="Calibri" w:hAnsi="Calibri"/>
          <w:b/>
          <w:bCs/>
          <w:i w:val="false"/>
          <w:iCs w:val="false"/>
          <w:color w:val="1B3A6B"/>
          <w:sz w:val="28"/>
          <w:szCs w:val="28"/>
        </w:rPr>
        <w:t xml:space="preserve">⚠️ Rectifications de l'édition du 16/10/2026</w:t>
      </w:r>
    </w:p>
    <w:p>
      <w:pPr>
        <w:spacing w:after="100" w:before="0"/>
        <w:jc w:val="left"/>
      </w:pPr>
      <w:r>
        <w:rPr>
          <w:rFonts w:ascii="Calibri" w:cs="Calibri" w:eastAsia="Calibri" w:hAnsi="Calibri"/>
          <w:b w:val="false"/>
          <w:bCs w:val="false"/>
          <w:i w:val="false"/>
          <w:iCs w:val="false"/>
          <w:color w:val="1F2937"/>
          <w:sz w:val="22"/>
          <w:szCs w:val="22"/>
        </w:rPr>
        <w:t xml:space="preserve">Deux points de l'édition précédente sont corrigés ici, conformément à la consigne de reprise du fil.</w:t>
      </w:r>
    </w:p>
    <w:p>
      <w:pPr>
        <w:spacing w:after="100" w:before="0"/>
        <w:jc w:val="left"/>
      </w:pPr>
      <w:r>
        <w:rPr>
          <w:rFonts w:ascii="Calibri" w:cs="Calibri" w:eastAsia="Calibri" w:hAnsi="Calibri"/>
          <w:b w:val="false"/>
          <w:bCs w:val="false"/>
          <w:i w:val="false"/>
          <w:iCs w:val="false"/>
          <w:color w:val="1F2937"/>
          <w:sz w:val="22"/>
          <w:szCs w:val="22"/>
        </w:rPr>
        <w:t xml:space="preserve">1. EUR-Lex est LISIBLE sous sa forme ELI. L'édition du 16/10 listait le règlement sous la forme « legal-content / CELEX » — adresse volontairement non reproduite ici, pour qu'elle ne compte pas comme une page citée — et l'a déclarée non lue, 0 octet en HTTP 202 : c'était exact pour cette forme-là. La forme ELI, liée ci-dessous, rend 609 895 octets bruts et 154 851 caractères de texte utile, sur quatre lectures consécutives pendant cette exécution. La source primaire du règlement est donc accessible.</w:t>
      </w:r>
    </w:p>
    <w:p>
      <w:pPr>
        <w:spacing w:after="100" w:before="0"/>
        <w:jc w:val="left"/>
      </w:pPr>
      <w:r>
        <w:rPr>
          <w:rFonts w:ascii="Calibri" w:cs="Calibri" w:eastAsia="Calibri" w:hAnsi="Calibri"/>
          <w:b w:val="false"/>
          <w:bCs w:val="false"/>
          <w:i/>
          <w:iCs/>
          <w:color w:val="6B7280"/>
          <w:sz w:val="22"/>
          <w:szCs w:val="22"/>
        </w:rPr>
        <w:t xml:space="preserve">⚠️ Réserve sur cette lecture : le contrôle d'attributions du dépôt, qui récupère en rafale toutes les adresses de la note, a reçu HTTP 202 et 0 octet sur ces deux mêmes adresses quelques minutes plus tard. EUR-Lex freine les rafales ; ses pages ne sont pas mortes, mais un outil qui enchaîne les requêtes ne peut pas les relire. Les dates ci-dessous sont donc vérifiées par lecture directe, non par le contrôle automatique.</w:t>
      </w:r>
    </w:p>
    <w:p>
      <w:pPr>
        <w:spacing w:after="100" w:before="0"/>
        <w:jc w:val="left"/>
      </w:pPr>
      <w:r>
        <w:rPr>
          <w:rFonts w:ascii="Calibri" w:cs="Calibri" w:eastAsia="Calibri" w:hAnsi="Calibri"/>
          <w:b w:val="false"/>
          <w:bCs w:val="false"/>
          <w:i w:val="false"/>
          <w:iCs w:val="false"/>
          <w:color w:val="1F2937"/>
          <w:sz w:val="22"/>
          <w:szCs w:val="22"/>
        </w:rPr>
        <w:t xml:space="preserve">2. Trois dates du règlement modificatif ont été recherchées dans le texte EUR-Lex lu directement pendant cette exécution : celle de l'acte, le 8 juillet 2026, et celle de l'entrée en vigueur, le 27 juillet 2026, y figurent toutes deux ; la date du 24 juillet 2026, que les éditions antérieures donnent pour la publication au Journal officiel, n'a pas été retrouvée dans cette page. La Q/R de la CNIL présente de son côté le 24 juillet comme la date d'adoption, ce qui confond publication et acte. Ce qui fait foi, d'après la lecture directe : le 8 juillet pour l'acte, le 27 juillet pour l'entrée en vigueur. La date de publication au Journal officiel, elle, n'a pas pu être confirmée sur cette page — l'identifiant du règlement, lui, est bien porté par la page de la Commission listée ci-dessous.</w:t>
      </w:r>
    </w:p>
    <w:p>
      <w:pPr>
        <w:spacing w:after="120" w:before="280"/>
        <w:jc w:val="left"/>
      </w:pPr>
      <w:r>
        <w:rPr>
          <w:rFonts w:ascii="Calibri" w:cs="Calibri" w:eastAsia="Calibri" w:hAnsi="Calibri"/>
          <w:b/>
          <w:bCs/>
          <w:i w:val="false"/>
          <w:iCs w:val="false"/>
          <w:color w:val="1B3A6B"/>
          <w:sz w:val="28"/>
          <w:szCs w:val="28"/>
        </w:rPr>
        <w:t xml:space="preserve">Aucune nouveauté significative depuis le CR du 16/10/2026</w:t>
      </w:r>
    </w:p>
    <w:p>
      <w:pPr>
        <w:spacing w:after="100" w:before="0"/>
        <w:jc w:val="left"/>
      </w:pPr>
      <w:r>
        <w:rPr>
          <w:rFonts w:ascii="Calibri" w:cs="Calibri" w:eastAsia="Calibri" w:hAnsi="Calibri"/>
          <w:b w:val="false"/>
          <w:bCs w:val="false"/>
          <w:i w:val="false"/>
          <w:iCs w:val="false"/>
          <w:color w:val="1F2937"/>
          <w:sz w:val="22"/>
          <w:szCs w:val="22"/>
        </w:rPr>
        <w:t xml:space="preserve">Aucun élément relatif au règlement sur l'IA, daté dans la fenêtre du 10 au 17 octobre 2026, n'a été trouvé qui ne figure déjà dans le compte-rendu du 16 octobre 2026. Le détail de ce constat, source par source, est dans la rubrique des sources ci-dessous : les deux entrées de la Commission datées du 13 et du 14 octobre portent sur les compétences numériques et sur la coopération UE-Ukraine en cybersécurité, hors périmètre ; les analyses de l'IAPP des 14 et 15 octobre étaient déjà reprises dans l'édition du 16 ; ses deux entrées du 16 octobre portent sur le Canada et sur des audits de conformité américains, hors périmètre.</w:t>
      </w:r>
    </w:p>
    <w:p>
      <w:pPr>
        <w:spacing w:after="100" w:before="0"/>
        <w:jc w:val="left"/>
      </w:pPr>
      <w:r>
        <w:rPr>
          <w:rFonts w:ascii="Calibri" w:cs="Calibri" w:eastAsia="Calibri" w:hAnsi="Calibri"/>
          <w:b w:val="false"/>
          <w:bCs w:val="false"/>
          <w:i/>
          <w:iCs/>
          <w:color w:val="6B7280"/>
          <w:sz w:val="22"/>
          <w:szCs w:val="22"/>
        </w:rPr>
        <w:t xml:space="preserve">⚠️ Ce compte-rendu est un déclenchement manuel lancé un jour après l'édition du 16 octobre. Une fenêtre de sept jours qui recouvre six jours déjà couverts ne peut, par construction, apporter presque aucune nouveauté : le résultat 🟢 était attendu et il est consigné comme tel.</w:t>
      </w:r>
    </w:p>
    <w:p>
      <w:pPr>
        <w:spacing w:after="120" w:before="280"/>
        <w:jc w:val="left"/>
      </w:pPr>
      <w:r>
        <w:rPr>
          <w:rFonts w:ascii="Calibri" w:cs="Calibri" w:eastAsia="Calibri" w:hAnsi="Calibri"/>
          <w:b/>
          <w:bCs/>
          <w:i w:val="false"/>
          <w:iCs w:val="false"/>
          <w:color w:val="1B3A6B"/>
          <w:sz w:val="28"/>
          <w:szCs w:val="28"/>
        </w:rPr>
        <w:t xml:space="preserve">📅 Échéances réglementaires à venir</w:t>
      </w:r>
    </w:p>
    <w:p>
      <w:pPr>
        <w:spacing w:after="100" w:before="0"/>
        <w:jc w:val="left"/>
      </w:pPr>
      <w:r>
        <w:rPr>
          <w:rFonts w:ascii="Calibri" w:cs="Calibri" w:eastAsia="Calibri" w:hAnsi="Calibri"/>
          <w:b w:val="false"/>
          <w:bCs w:val="false"/>
          <w:i w:val="false"/>
          <w:iCs w:val="false"/>
          <w:color w:val="1F2937"/>
          <w:sz w:val="22"/>
          <w:szCs w:val="22"/>
        </w:rPr>
        <w:t xml:space="preserve">2 décembre 2026 — fin de la période transitoire de l'article 50 §2 pour les systèmes génératifs mis sur le marché avant le 2 août 2026, et entrée en application de l'interdiction des hypertrucages sexuels non consentis et des contenus pédocriminels. Cette échéance du 2 décembre 2026 a été retrouvée dans le texte du règlement modificatif lu directement pendant cette exécution.</w:t>
      </w:r>
    </w:p>
    <w:p>
      <w:pPr>
        <w:spacing w:after="100" w:before="0"/>
        <w:jc w:val="left"/>
      </w:pPr>
      <w:r>
        <w:rPr>
          <w:rFonts w:ascii="Calibri" w:cs="Calibri" w:eastAsia="Calibri" w:hAnsi="Calibri"/>
          <w:b w:val="false"/>
          <w:bCs w:val="false"/>
          <w:i w:val="false"/>
          <w:iCs w:val="false"/>
          <w:color w:val="1F2937"/>
          <w:sz w:val="22"/>
          <w:szCs w:val="22"/>
        </w:rPr>
        <w:t xml:space="preserve">2 août 2027 — mise en œuvre par les autorités des États membres d'au moins un bac à sable réglementaire (Q/R de la CNIL).</w:t>
      </w:r>
    </w:p>
    <w:p>
      <w:pPr>
        <w:spacing w:after="100" w:before="0"/>
        <w:jc w:val="left"/>
      </w:pPr>
      <w:r>
        <w:rPr>
          <w:rFonts w:ascii="Calibri" w:cs="Calibri" w:eastAsia="Calibri" w:hAnsi="Calibri"/>
          <w:b w:val="false"/>
          <w:bCs w:val="false"/>
          <w:i w:val="false"/>
          <w:iCs w:val="false"/>
          <w:color w:val="1F2937"/>
          <w:sz w:val="22"/>
          <w:szCs w:val="22"/>
        </w:rPr>
        <w:t xml:space="preserve">2 décembre 2027 — application des règles relatives aux systèmes à haut risque de l'annexe III (Q/R de la CNIL ; la page de la Commission annonce la même échéance pour les systèmes à haut risque de l'annexe III).</w:t>
      </w:r>
    </w:p>
    <w:p>
      <w:pPr>
        <w:spacing w:after="100" w:before="0"/>
        <w:jc w:val="left"/>
      </w:pPr>
      <w:r>
        <w:rPr>
          <w:rFonts w:ascii="Calibri" w:cs="Calibri" w:eastAsia="Calibri" w:hAnsi="Calibri"/>
          <w:b w:val="false"/>
          <w:bCs w:val="false"/>
          <w:i w:val="false"/>
          <w:iCs w:val="false"/>
          <w:color w:val="1F2937"/>
          <w:sz w:val="22"/>
          <w:szCs w:val="22"/>
        </w:rPr>
        <w:t xml:space="preserve">2 août 2028 — application des règles relatives aux systèmes à haut risque de l'annexe I, après une période de transition étendue (page de la Commission).</w:t>
      </w:r>
    </w:p>
    <w:p>
      <w:pPr>
        <w:spacing w:after="60" w:before="80"/>
      </w:pPr>
      <w:r>
        <w:rPr>
          <w:rFonts w:ascii="Calibri" w:cs="Calibri" w:eastAsia="Calibri" w:hAnsi="Calibri"/>
          <w:color w:val="1F2937"/>
          <w:sz w:val="22"/>
          <w:szCs w:val="22"/>
        </w:rPr>
        <w:t xml:space="preserve">Source primaire de l'acte modificatif : </w:t>
      </w:r>
      <w:hyperlink w:history="1" r:id="rIdizyozanzxnnhnlnkrc9zc">
        <w:r>
          <w:rPr>
            <w:rFonts w:ascii="Calibri" w:cs="Calibri" w:eastAsia="Calibri" w:hAnsi="Calibri"/>
            <w:color w:val="1155CC"/>
            <w:sz w:val="22"/>
            <w:szCs w:val="22"/>
            <w:u w:val="single"/>
          </w:rPr>
          <w:t xml:space="preserve">Règlement (UE) 2026/1744 — texte intégral sur EUR-Lex</w:t>
        </w:r>
      </w:hyperlink>
    </w:p>
    <w:p>
      <w:pPr>
        <w:spacing w:after="60" w:before="0"/>
      </w:pPr>
      <w:r>
        <w:rPr>
          <w:rFonts w:ascii="Calibri" w:cs="Calibri" w:eastAsia="Calibri" w:hAnsi="Calibri"/>
          <w:color w:val="1F2937"/>
          <w:sz w:val="22"/>
          <w:szCs w:val="22"/>
        </w:rPr>
        <w:t xml:space="preserve">Source primaire du règlement IA : </w:t>
      </w:r>
      <w:hyperlink w:history="1" r:id="rIdowzmlp7prvryz5sycmzxk">
        <w:r>
          <w:rPr>
            <w:rFonts w:ascii="Calibri" w:cs="Calibri" w:eastAsia="Calibri" w:hAnsi="Calibri"/>
            <w:color w:val="1155CC"/>
            <w:sz w:val="22"/>
            <w:szCs w:val="22"/>
            <w:u w:val="single"/>
          </w:rPr>
          <w:t xml:space="preserve">Règlement (UE) 2024/1689 — texte intégral sur EUR-Lex</w:t>
        </w:r>
      </w:hyperlink>
    </w:p>
    <w:p>
      <w:pPr>
        <w:spacing w:after="120" w:before="280"/>
        <w:jc w:val="left"/>
      </w:pPr>
      <w:r>
        <w:rPr>
          <w:rFonts w:ascii="Calibri" w:cs="Calibri" w:eastAsia="Calibri" w:hAnsi="Calibri"/>
          <w:b/>
          <w:bCs/>
          <w:i w:val="false"/>
          <w:iCs w:val="false"/>
          <w:color w:val="1B3A6B"/>
          <w:sz w:val="28"/>
          <w:szCs w:val="28"/>
        </w:rPr>
        <w:t xml:space="preserve">🔜 À surveiller</w:t>
      </w:r>
    </w:p>
    <w:p>
      <w:pPr>
        <w:spacing w:after="100" w:before="0"/>
        <w:jc w:val="left"/>
      </w:pPr>
      <w:r>
        <w:rPr>
          <w:rFonts w:ascii="Calibri" w:cs="Calibri" w:eastAsia="Calibri" w:hAnsi="Calibri"/>
          <w:b w:val="false"/>
          <w:bCs w:val="false"/>
          <w:i w:val="false"/>
          <w:iCs w:val="false"/>
          <w:color w:val="1F2937"/>
          <w:sz w:val="22"/>
          <w:szCs w:val="22"/>
        </w:rPr>
        <w:t xml:space="preserve">Désignation des autorités françaises compétentes (volet numérique du DDADUE) : non vérifié à une source primaire pendant cette exécution — legifrance.gouv.fr requiert JavaScript et ne rend pas son dossier législatif à un agent headless. État repris du cadrage du 30/08/2026, sans avancée constatée. Cette absence ne suspend aucune obligation : l'interlocuteur de fait d'un ESSMS reste la CNIL, via son délégué à la protection des données.</w:t>
      </w:r>
    </w:p>
    <w:p>
      <w:pPr>
        <w:spacing w:after="100" w:before="0"/>
        <w:jc w:val="left"/>
      </w:pPr>
      <w:r>
        <w:rPr>
          <w:rFonts w:ascii="Calibri" w:cs="Calibri" w:eastAsia="Calibri" w:hAnsi="Calibri"/>
          <w:b w:val="false"/>
          <w:bCs w:val="false"/>
          <w:i w:val="false"/>
          <w:iCs w:val="false"/>
          <w:color w:val="1F2937"/>
          <w:sz w:val="22"/>
          <w:szCs w:val="22"/>
        </w:rPr>
        <w:t xml:space="preserve">Échéance du 2 décembre 2026 : à trois semaines ouvrées, c'est la prochaine marche d'application. Pour un foyer d'hébergement, le point concret est la transparence due aux personnes accompagnées lorsqu'un contenu ou une aide à la décision est produit par un système d'IA.</w:t>
      </w:r>
    </w:p>
    <w:p>
      <w:pPr>
        <w:spacing w:after="100" w:before="0"/>
        <w:jc w:val="left"/>
      </w:pPr>
      <w:r>
        <w:rPr>
          <w:rFonts w:ascii="Calibri" w:cs="Calibri" w:eastAsia="Calibri" w:hAnsi="Calibri"/>
          <w:b w:val="false"/>
          <w:bCs w:val="false"/>
          <w:i w:val="false"/>
          <w:iCs w:val="false"/>
          <w:color w:val="1F2937"/>
          <w:sz w:val="22"/>
          <w:szCs w:val="22"/>
        </w:rPr>
        <w:t xml:space="preserve">Communiqués du Conseil de l'UE : la page de presse reste inaccessible à un agent headless (HTTP 403). Un repli par recherche sur le domaine n'a identifié aucun communiqué relatif au règlement sur l'IA en octobre 2026 ; le dernier en date porte sur l'accord final du 29 juin 2026.</w:t>
      </w:r>
    </w:p>
    <w:p>
      <w:pPr>
        <w:spacing w:after="120" w:before="280"/>
        <w:jc w:val="left"/>
      </w:pPr>
      <w:r>
        <w:rPr>
          <w:rFonts w:ascii="Calibri" w:cs="Calibri" w:eastAsia="Calibri" w:hAnsi="Calibri"/>
          <w:b/>
          <w:bCs/>
          <w:i w:val="false"/>
          <w:iCs w:val="false"/>
          <w:color w:val="1B3A6B"/>
          <w:sz w:val="28"/>
          <w:szCs w:val="28"/>
        </w:rPr>
        <w:t xml:space="preserve">📚 Sources du jour</w:t>
      </w:r>
    </w:p>
    <w:p>
      <w:pPr>
        <w:spacing w:after="60" w:before="0"/>
      </w:pPr>
      <w:r>
        <w:rPr>
          <w:rFonts w:ascii="Calibri" w:cs="Calibri" w:eastAsia="Calibri" w:hAnsi="Calibri"/>
          <w:color w:val="1F2937"/>
          <w:sz w:val="22"/>
          <w:szCs w:val="22"/>
        </w:rPr>
        <w:t xml:space="preserve">✅ </w:t>
      </w:r>
      <w:hyperlink w:history="1" r:id="rIdka_92mqw2dhmt1lvgvgeb">
        <w:r>
          <w:rPr>
            <w:rFonts w:ascii="Calibri" w:cs="Calibri" w:eastAsia="Calibri" w:hAnsi="Calibri"/>
            <w:color w:val="1155CC"/>
            <w:sz w:val="22"/>
            <w:szCs w:val="22"/>
            <w:u w:val="single"/>
          </w:rPr>
          <w:t xml:space="preserve">Commission européenne — cadre réglementaire IA</w:t>
        </w:r>
      </w:hyperlink>
      <w:r>
        <w:rPr>
          <w:rFonts w:ascii="Calibri" w:cs="Calibri" w:eastAsia="Calibri" w:hAnsi="Calibri"/>
          <w:color w:val="1F2937"/>
          <w:sz w:val="22"/>
          <w:szCs w:val="22"/>
        </w:rPr>
        <w:t xml:space="preserve"> — lue, 17 985 caractères utiles. Liste « Latest News » relue dans l'ordre : 14/10 compétences numériques, 13/10 cyber UE-Ukraine, puis 05/10 (panel scientifique, hors fenêtre et déjà couvert). Échéances 2027 et 2028 reprises ci-dessus.</w:t>
      </w:r>
    </w:p>
    <w:p>
      <w:pPr>
        <w:spacing w:after="60" w:before="0"/>
      </w:pPr>
      <w:r>
        <w:rPr>
          <w:rFonts w:ascii="Calibri" w:cs="Calibri" w:eastAsia="Calibri" w:hAnsi="Calibri"/>
          <w:color w:val="1F2937"/>
          <w:sz w:val="22"/>
          <w:szCs w:val="22"/>
        </w:rPr>
        <w:t xml:space="preserve">✅ </w:t>
      </w:r>
      <w:hyperlink w:history="1" r:id="rIdikhfpayusl5wvtsg25so1">
        <w:r>
          <w:rPr>
            <w:rFonts w:ascii="Calibri" w:cs="Calibri" w:eastAsia="Calibri" w:hAnsi="Calibri"/>
            <w:color w:val="1155CC"/>
            <w:sz w:val="22"/>
            <w:szCs w:val="22"/>
            <w:u w:val="single"/>
          </w:rPr>
          <w:t xml:space="preserve">IAPP — actualités</w:t>
        </w:r>
      </w:hyperlink>
      <w:r>
        <w:rPr>
          <w:rFonts w:ascii="Calibri" w:cs="Calibri" w:eastAsia="Calibri" w:hAnsi="Calibri"/>
          <w:color w:val="1F2937"/>
          <w:sz w:val="22"/>
          <w:szCs w:val="22"/>
        </w:rPr>
        <w:t xml:space="preserve"> — lue, 4 311 caractères utiles, vingt titres datés. Items dans la fenêtre : 16/10 Canada et audits américains (hors périmètre), 15/10 Asie-Pacifique et « A view from Brussels » (déjà repris le 16/10), 14/10 cinq analyses déjà reprises le 16/10. Les entrées MEMBER ne sont pas lisibles : titres et dates seulement.</w:t>
      </w:r>
    </w:p>
    <w:p>
      <w:pPr>
        <w:spacing w:after="60" w:before="0"/>
      </w:pPr>
      <w:r>
        <w:rPr>
          <w:rFonts w:ascii="Calibri" w:cs="Calibri" w:eastAsia="Calibri" w:hAnsi="Calibri"/>
          <w:color w:val="1F2937"/>
          <w:sz w:val="22"/>
          <w:szCs w:val="22"/>
        </w:rPr>
        <w:t xml:space="preserve">✅ </w:t>
      </w:r>
      <w:hyperlink w:history="1" r:id="rIdyv6ppffaeny71yhosv-p6">
        <w:r>
          <w:rPr>
            <w:rFonts w:ascii="Calibri" w:cs="Calibri" w:eastAsia="Calibri" w:hAnsi="Calibri"/>
            <w:color w:val="1155CC"/>
            <w:sz w:val="22"/>
            <w:szCs w:val="22"/>
            <w:u w:val="single"/>
          </w:rPr>
          <w:t xml:space="preserve">CNIL — questions-réponses sur le règlement IA</w:t>
        </w:r>
      </w:hyperlink>
      <w:r>
        <w:rPr>
          <w:rFonts w:ascii="Calibri" w:cs="Calibri" w:eastAsia="Calibri" w:hAnsi="Calibri"/>
          <w:color w:val="1F2937"/>
          <w:sz w:val="22"/>
          <w:szCs w:val="22"/>
        </w:rPr>
        <w:t xml:space="preserve"> — lue, 26 014 caractères utiles, mise à jour le 17 août 2026. Calendrier d'application repris ci-dessus ; écart de date signalé en tête de note.</w:t>
      </w:r>
    </w:p>
    <w:p>
      <w:pPr>
        <w:spacing w:after="60" w:before="0"/>
      </w:pPr>
      <w:r>
        <w:rPr>
          <w:rFonts w:ascii="Calibri" w:cs="Calibri" w:eastAsia="Calibri" w:hAnsi="Calibri"/>
          <w:color w:val="1F2937"/>
          <w:sz w:val="22"/>
          <w:szCs w:val="22"/>
        </w:rPr>
        <w:t xml:space="preserve">✅ </w:t>
      </w:r>
      <w:hyperlink w:history="1" r:id="rIdbhpavowdsqljqs2ue5g-c">
        <w:r>
          <w:rPr>
            <w:rFonts w:ascii="Calibri" w:cs="Calibri" w:eastAsia="Calibri" w:hAnsi="Calibri"/>
            <w:color w:val="1155CC"/>
            <w:sz w:val="22"/>
            <w:szCs w:val="22"/>
            <w:u w:val="single"/>
          </w:rPr>
          <w:t xml:space="preserve">EUR-Lex — règlement (UE) 2026/1744</w:t>
        </w:r>
      </w:hyperlink>
      <w:r>
        <w:rPr>
          <w:rFonts w:ascii="Calibri" w:cs="Calibri" w:eastAsia="Calibri" w:hAnsi="Calibri"/>
          <w:color w:val="1F2937"/>
          <w:sz w:val="22"/>
          <w:szCs w:val="22"/>
        </w:rPr>
        <w:t xml:space="preserve"> — lue, 154 851 caractères utiles. Dates de l'acte et d'entrée en vigueur vérifiées, échéance du 2 décembre 2026 vérifiée.</w:t>
      </w:r>
    </w:p>
    <w:p>
      <w:pPr>
        <w:spacing w:after="60" w:before="0"/>
      </w:pPr>
      <w:r>
        <w:rPr>
          <w:rFonts w:ascii="Calibri" w:cs="Calibri" w:eastAsia="Calibri" w:hAnsi="Calibri"/>
          <w:color w:val="1F2937"/>
          <w:sz w:val="22"/>
          <w:szCs w:val="22"/>
        </w:rPr>
        <w:t xml:space="preserve">⚠ </w:t>
      </w:r>
      <w:hyperlink w:history="1" r:id="rId9r0su2ohcw4rewtvorwa2">
        <w:r>
          <w:rPr>
            <w:rFonts w:ascii="Calibri" w:cs="Calibri" w:eastAsia="Calibri" w:hAnsi="Calibri"/>
            <w:color w:val="1155CC"/>
            <w:sz w:val="22"/>
            <w:szCs w:val="22"/>
            <w:u w:val="single"/>
          </w:rPr>
          <w:t xml:space="preserve">Service desk officiel — calendrier d'application</w:t>
        </w:r>
      </w:hyperlink>
      <w:r>
        <w:rPr>
          <w:rFonts w:ascii="Calibri" w:cs="Calibri" w:eastAsia="Calibri" w:hAnsi="Calibri"/>
          <w:color w:val="1F2937"/>
          <w:sz w:val="22"/>
          <w:szCs w:val="22"/>
        </w:rPr>
        <w:t xml:space="preserve"> — consultée, sans élément nouveau : 2 760 caractères utiles seulement, sous le seuil au-delà duquel cette page peut être considérée comme lue. Rien n'en est tiré.</w:t>
      </w:r>
    </w:p>
    <w:p>
      <w:pPr>
        <w:spacing w:after="60" w:before="0"/>
      </w:pPr>
      <w:r>
        <w:rPr>
          <w:rFonts w:ascii="Calibri" w:cs="Calibri" w:eastAsia="Calibri" w:hAnsi="Calibri"/>
          <w:color w:val="1F2937"/>
          <w:sz w:val="22"/>
          <w:szCs w:val="22"/>
        </w:rPr>
        <w:t xml:space="preserve">⚠ </w:t>
      </w:r>
      <w:hyperlink w:history="1" r:id="rIdow6s9g091tywd0mpk9gbh">
        <w:r>
          <w:rPr>
            <w:rFonts w:ascii="Calibri" w:cs="Calibri" w:eastAsia="Calibri" w:hAnsi="Calibri"/>
            <w:color w:val="1155CC"/>
            <w:sz w:val="22"/>
            <w:szCs w:val="22"/>
            <w:u w:val="single"/>
          </w:rPr>
          <w:t xml:space="preserve">artificialintelligenceact.eu (Future of Life Institute)</w:t>
        </w:r>
      </w:hyperlink>
      <w:r>
        <w:rPr>
          <w:rFonts w:ascii="Calibri" w:cs="Calibri" w:eastAsia="Calibri" w:hAnsi="Calibri"/>
          <w:color w:val="1F2937"/>
          <w:sz w:val="22"/>
          <w:szCs w:val="22"/>
        </w:rPr>
        <w:t xml:space="preserve"> — consultée avec un agent de navigateur, 16 210 caractères utiles. Aucun élément daté dans la fenêtre : le billet le plus récent de la page d'accueil est du 14 mai 2026, et la dernière mise à jour affichée du 31 août 2026.</w:t>
      </w:r>
    </w:p>
    <w:p>
      <w:pPr>
        <w:spacing w:after="60" w:before="0"/>
      </w:pPr>
      <w:r>
        <w:rPr>
          <w:rFonts w:ascii="Calibri" w:cs="Calibri" w:eastAsia="Calibri" w:hAnsi="Calibri"/>
          <w:color w:val="1F2937"/>
          <w:sz w:val="22"/>
          <w:szCs w:val="22"/>
        </w:rPr>
        <w:t xml:space="preserve">⚠ </w:t>
      </w:r>
      <w:hyperlink w:history="1" r:id="rIdt7z38rklyh5wxdbrdpsa1">
        <w:r>
          <w:rPr>
            <w:rFonts w:ascii="Calibri" w:cs="Calibri" w:eastAsia="Calibri" w:hAnsi="Calibri"/>
            <w:color w:val="1155CC"/>
            <w:sz w:val="22"/>
            <w:szCs w:val="22"/>
            <w:u w:val="single"/>
          </w:rPr>
          <w:t xml:space="preserve">CNIL — intelligence artificielle</w:t>
        </w:r>
      </w:hyperlink>
      <w:r>
        <w:rPr>
          <w:rFonts w:ascii="Calibri" w:cs="Calibri" w:eastAsia="Calibri" w:hAnsi="Calibri"/>
          <w:color w:val="1F2937"/>
          <w:sz w:val="22"/>
          <w:szCs w:val="22"/>
        </w:rPr>
        <w:t xml:space="preserve"> — consultée, 8 270 caractères utiles. Entrée la plus récente datée du 26 août 2026 : aucun élément dans la fenêtre.</w:t>
      </w:r>
    </w:p>
    <w:p>
      <w:pPr>
        <w:spacing w:after="60" w:before="0"/>
      </w:pPr>
      <w:r>
        <w:rPr>
          <w:rFonts w:ascii="Calibri" w:cs="Calibri" w:eastAsia="Calibri" w:hAnsi="Calibri"/>
          <w:color w:val="1F2937"/>
          <w:sz w:val="22"/>
          <w:szCs w:val="22"/>
        </w:rPr>
        <w:t xml:space="preserve">⛔ </w:t>
      </w:r>
      <w:hyperlink w:history="1" r:id="rIdk1ut50tnatsazunaqxn0n">
        <w:r>
          <w:rPr>
            <w:rFonts w:ascii="Calibri" w:cs="Calibri" w:eastAsia="Calibri" w:hAnsi="Calibri"/>
            <w:color w:val="1155CC"/>
            <w:sz w:val="22"/>
            <w:szCs w:val="22"/>
            <w:u w:val="single"/>
          </w:rPr>
          <w:t xml:space="preserve">Conseil de l'UE — communiqués de presse</w:t>
        </w:r>
      </w:hyperlink>
      <w:r>
        <w:rPr>
          <w:rFonts w:ascii="Calibri" w:cs="Calibri" w:eastAsia="Calibri" w:hAnsi="Calibri"/>
          <w:color w:val="1F2937"/>
          <w:sz w:val="22"/>
          <w:szCs w:val="22"/>
        </w:rPr>
        <w:t xml:space="preserve"> — inaccessible : HTTP 403 avec un agent de navigateur, après trois essais. La page existe ; c'est son mur anti-robot qui répond. Repli par recherche sur le domaine : aucun communiqué relatif au règlement sur l'IA en octobre 2026.</w:t>
      </w:r>
    </w:p>
    <w:p>
      <w:pPr>
        <w:spacing w:after="100" w:before="120"/>
        <w:jc w:val="left"/>
      </w:pPr>
      <w:r>
        <w:rPr>
          <w:rFonts w:ascii="Calibri" w:cs="Calibri" w:eastAsia="Calibri" w:hAnsi="Calibri"/>
          <w:b w:val="false"/>
          <w:bCs w:val="false"/>
          <w:i w:val="false"/>
          <w:iCs w:val="false"/>
          <w:color w:val="6B7280"/>
          <w:sz w:val="20"/>
          <w:szCs w:val="20"/>
        </w:rPr>
        <w:t xml:space="preserve">Décompte : 8 sources documentaires tentées — 4 ✅, 3 ⚠, 1 ⛔. Les outils de récupération ne sont pas comptés comme des sources.</w:t>
      </w:r>
    </w:p>
    <w:p>
      <w:pPr>
        <w:spacing w:after="100" w:before="0"/>
        <w:jc w:val="left"/>
      </w:pPr>
      <w:r>
        <w:rPr>
          <w:rFonts w:ascii="Calibri" w:cs="Calibri" w:eastAsia="Calibri" w:hAnsi="Calibri"/>
          <w:b w:val="false"/>
          <w:bCs w:val="false"/>
          <w:i/>
          <w:iCs/>
          <w:color w:val="6B7280"/>
          <w:sz w:val="20"/>
          <w:szCs w:val="20"/>
        </w:rPr>
        <w:t xml:space="preserve">Note produite par un déclenchement manuel le 17/10/2026, hors du créneau hebdomadaire du vendredi 9h03.</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izyozanzxnnhnlnkrc9zc" Type="http://schemas.openxmlformats.org/officeDocument/2006/relationships/hyperlink" Target="https://eur-lex.europa.eu/eli/reg/2026/1744/oj" TargetMode="External"/><Relationship Id="rIdowzmlp7prvryz5sycmzxk" Type="http://schemas.openxmlformats.org/officeDocument/2006/relationships/hyperlink" Target="https://eur-lex.europa.eu/eli/reg/2024/1689/oj" TargetMode="External"/><Relationship Id="rIdka_92mqw2dhmt1lvgvgeb" Type="http://schemas.openxmlformats.org/officeDocument/2006/relationships/hyperlink" Target="https://digital-strategy.ec.europa.eu/en/policies/regulatory-framework-ai" TargetMode="External"/><Relationship Id="rIdikhfpayusl5wvtsg25so1" Type="http://schemas.openxmlformats.org/officeDocument/2006/relationships/hyperlink" Target="https://iapp.org/news/" TargetMode="External"/><Relationship Id="rIdyv6ppffaeny71yhosv-p6" Type="http://schemas.openxmlformats.org/officeDocument/2006/relationships/hyperlink" Target="https://www.cnil.fr/fr/entree-en-vigueur-du-reglement-europeen-sur-lia-les-premieres-questions-reponses-de-la-cnil" TargetMode="External"/><Relationship Id="rIdbhpavowdsqljqs2ue5g-c" Type="http://schemas.openxmlformats.org/officeDocument/2006/relationships/hyperlink" Target="https://eur-lex.europa.eu/eli/reg/2026/1744/oj" TargetMode="External"/><Relationship Id="rId9r0su2ohcw4rewtvorwa2" Type="http://schemas.openxmlformats.org/officeDocument/2006/relationships/hyperlink" Target="https://ai-act-service-desk.ec.europa.eu/en/ai-act/timeline/timeline-implementation-eu-ai-act" TargetMode="External"/><Relationship Id="rIdow6s9g091tywd0mpk9gbh" Type="http://schemas.openxmlformats.org/officeDocument/2006/relationships/hyperlink" Target="https://artificialintelligenceact.eu" TargetMode="External"/><Relationship Id="rIdt7z38rklyh5wxdbrdpsa1" Type="http://schemas.openxmlformats.org/officeDocument/2006/relationships/hyperlink" Target="https://www.cnil.fr/fr/intelligence-artificielle" TargetMode="External"/><Relationship Id="rIdk1ut50tnatsazunaqxn0n" Type="http://schemas.openxmlformats.org/officeDocument/2006/relationships/hyperlink" Target="https://www.consilium.europa.eu/en/press/press-releases/"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2026-10-17T08:23:06.024Z</dcterms:created>
  <dcterms:modified xsi:type="dcterms:W3CDTF">2026-10-17T08:23:06.042Z</dcterms:modified>
</cp:coreProperties>
</file>

<file path=docProps/custom.xml><?xml version="1.0" encoding="utf-8"?>
<Properties xmlns="http://schemas.openxmlformats.org/officeDocument/2006/custom-properties" xmlns:vt="http://schemas.openxmlformats.org/officeDocument/2006/docPropsVTypes"/>
</file>