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Hypnose &amp; auto-hypnose n°13
Hypnose, anxiété et gestion du stress</w:t>
      </w:r>
    </w:p>
    <w:p>
      <w:pPr>
        <w:spacing w:after="80" w:before="80"/>
        <w:jc w:val="center"/>
      </w:pPr>
      <w:r>
        <w:rPr>
          <w:rFonts w:ascii="Times New Roman" w:cs="Times New Roman" w:eastAsia="Times New Roman" w:hAnsi="Times New Roman"/>
          <w:i/>
          <w:iCs/>
          <w:color w:val="555555"/>
          <w:sz w:val="22"/>
          <w:szCs w:val="22"/>
        </w:rPr>
        <w:t xml:space="preserve">8 septembre 2026  ·  Leçon 13 / 20</w:t>
      </w:r>
    </w:p>
    <w:p>
      <w:pPr>
        <w:pBdr>
          <w:bottom w:val="single" w:color="EEF2F7" w:sz="6"/>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À l'issue de cette leçon, tu sauras expliquer pourquoi l'hypnose et l'auto-hypnose peuvent agir sur l'anxiété et le stress ordinaire, et tu disposeras de trois protocoles pratiques immédiatement utilisables. Tu connaîtras également les limites documentées de cette approche et la frontière entre gestion personnelle du stress et traitement d'un trouble anxieux.</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Lien avec la leçon précédente : la leçon 12 a montré que l'état hypnotique modifie le traitement cérébral de la douleur en jouant sur l'attention et les attentes. L'anxiété mobilise des mécanismes comparables — activation du système limbique, interprétation des signaux corporels — et plusieurs protocoles se recoupent directement.</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Cadre &amp; sécurité</w:t>
      </w:r>
    </w:p>
    <w:p>
      <w:pPr>
        <w:pBdr>
          <w:top w:val="single" w:color="CCCCCC" w:sz="6"/>
          <w:bottom w:val="single" w:color="CCCCCC" w:sz="6"/>
          <w:left w:val="single" w:color="1B3A6B" w:sz="12"/>
          <w:right w:val="single" w:color="CCCCCC" w:sz="6"/>
        </w:pBdr>
        <w:shd w:fill="F3F4F6" w:val="clear"/>
        <w:spacing w:after="140" w:before="140"/>
        <w:ind w:left="288" w:right="288"/>
      </w:pPr>
      <w:r>
        <w:rPr>
          <w:rFonts w:ascii="Times New Roman" w:cs="Times New Roman" w:eastAsia="Times New Roman" w:hAnsi="Times New Roman"/>
          <w:color w:val="1F2937"/>
          <w:sz w:val="22"/>
          <w:szCs w:val="22"/>
        </w:rPr>
        <w:t xml:space="preserve">Ces exercices sont de l'auto-pratique de développement personnel, pas un soin ni une thérapie.</w:t>
      </w:r>
      <w:r>
        <w:rPr>
          <w:rFonts w:ascii="Times New Roman" w:cs="Times New Roman" w:eastAsia="Times New Roman" w:hAnsi="Times New Roman"/>
          <w:color w:val="1F2937"/>
          <w:sz w:val="22"/>
          <w:szCs w:val="22"/>
        </w:rPr>
        <w:br/>
        <w:t xml:space="preserve">Contre-indications et prudences pour ce thème :</w:t>
      </w:r>
      <w:r>
        <w:rPr>
          <w:rFonts w:ascii="Times New Roman" w:cs="Times New Roman" w:eastAsia="Times New Roman" w:hAnsi="Times New Roman"/>
          <w:color w:val="1F2937"/>
          <w:sz w:val="22"/>
          <w:szCs w:val="22"/>
        </w:rPr>
        <w:br/>
        <w:t xml:space="preserve">• Trouble anxieux généralisé sévère, trouble panique fréquent, TOC sévère : consulte un professionnel de santé avant de pratiquer seul.</w:t>
      </w:r>
      <w:r>
        <w:rPr>
          <w:rFonts w:ascii="Times New Roman" w:cs="Times New Roman" w:eastAsia="Times New Roman" w:hAnsi="Times New Roman"/>
          <w:color w:val="1F2937"/>
          <w:sz w:val="22"/>
          <w:szCs w:val="22"/>
        </w:rPr>
        <w:br/>
        <w:t xml:space="preserve">• Trouble dissociatif connu : évite les techniques d'approfondissement profond.</w:t>
      </w:r>
      <w:r>
        <w:rPr>
          <w:rFonts w:ascii="Times New Roman" w:cs="Times New Roman" w:eastAsia="Times New Roman" w:hAnsi="Times New Roman"/>
          <w:color w:val="1F2937"/>
          <w:sz w:val="22"/>
          <w:szCs w:val="22"/>
        </w:rPr>
        <w:br/>
        <w:t xml:space="preserve">• En cas d'aggravation de l'anxiété pendant ou après un exercice, stoppe et consulte.</w:t>
      </w:r>
      <w:r>
        <w:rPr>
          <w:rFonts w:ascii="Times New Roman" w:cs="Times New Roman" w:eastAsia="Times New Roman" w:hAnsi="Times New Roman"/>
          <w:color w:val="1F2937"/>
          <w:sz w:val="22"/>
          <w:szCs w:val="22"/>
        </w:rPr>
        <w:br/>
        <w:t xml:space="preserve">Ce que cette leçon apprend relève de ta préparation personnelle. Ne pas pratiquer sur des personnes accompagnées sans qualification professionnelle.</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Théorie (20 %) — Ce que l'on sait, et ce que l'on ne sait pas encore</w:t>
      </w:r>
    </w:p>
    <w:p>
      <w:pPr>
        <w:pStyle w:val="Heading3"/>
        <w:spacing w:after="80" w:before="240"/>
      </w:pPr>
      <w:r>
        <w:rPr>
          <w:rFonts w:ascii="Times New Roman" w:cs="Times New Roman" w:eastAsia="Times New Roman" w:hAnsi="Times New Roman"/>
          <w:b/>
          <w:bCs/>
          <w:color w:val="1F2937"/>
          <w:sz w:val="26"/>
          <w:szCs w:val="26"/>
        </w:rPr>
        <w:t xml:space="preserve">1. Stress et anxiété : rappel des mécanismes</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Face à une menace perçue, l'axe HPA (hypothalamus-hypophyse-surrénales) libère du cortisol, tandis que le système nerveux sympathique déclenche la réponse « combat ou fuite » : accélération cardiaque, tension musculaire, alerte cognitive. Ce mécanisme est adaptatif à court terme ; il devient problématique lorsqu'il s'active de façon chronique sans danger réel.</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L'anxiété correspond à une activation persistante de ce système en l'absence de menace immédiate. La relaxation profonde — qu'elle passe par la pleine conscience, la respiration diaphragmatique ou l'état hypnotique — active le système nerveux parasympathique (nerf vague, réponse de relaxation), ce qui régule activement la réponse de stress.</w:t>
      </w:r>
    </w:p>
    <w:p>
      <w:pPr>
        <w:pStyle w:val="Heading3"/>
        <w:spacing w:after="80" w:before="240"/>
      </w:pPr>
      <w:r>
        <w:rPr>
          <w:rFonts w:ascii="Times New Roman" w:cs="Times New Roman" w:eastAsia="Times New Roman" w:hAnsi="Times New Roman"/>
          <w:b/>
          <w:bCs/>
          <w:color w:val="1F2937"/>
          <w:sz w:val="26"/>
          <w:szCs w:val="26"/>
        </w:rPr>
        <w:t xml:space="preserve">2. Ce que les études documentent</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 méta-analyse de Rosendahl, Alldredge &amp; Haddenhorst (2024, Frontiers in Psychology) a compilé 49 méta-analyses portant sur 261 études primaires. Concernant l'anxiété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Effets moyens à grands (d ≥ 0,5 à d ≥ 0,8) en contexte de procédures médicales (chirurgie, soins dentaires, chimiothérapie).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Effets grands pour les patients atteints de cancer.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Effets plus modestes pour l'anxiété généralisée hors contexte médical.</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 revue systématique de Fisch, Brinkhaus &amp; Teut (2017, BMC Complementary and Alternative Medicine), portant spécifiquement sur le stress perçu, a identifié 9 études randomisées contrôlées : 6 sur 9 montraient des effets positifs significatifs sur la réduction du stress. Toutefois, les auteurs concluent que « due to exploratory designs and high risk of bias, the effectiveness of hypnosis or hypnotherapy in stress reduction remains still unclear. »</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Le rapport INSERM de 2015 (Évaluation de l'efficacité de la pratique de l'hypnose) relève un intérêt thérapeutique potentiel, notamment en anesthésie péri-opératoire, et note que les données sont insuffisantes pour d'autres indications. Il souligne que les risques liés à l'hypnose sont « particulièrement limités ».</w:t>
      </w:r>
    </w:p>
    <w:p>
      <w:pPr>
        <w:pStyle w:val="Heading3"/>
        <w:spacing w:after="80" w:before="240"/>
      </w:pPr>
      <w:r>
        <w:rPr>
          <w:rFonts w:ascii="Times New Roman" w:cs="Times New Roman" w:eastAsia="Times New Roman" w:hAnsi="Times New Roman"/>
          <w:b/>
          <w:bCs/>
          <w:color w:val="1F2937"/>
          <w:sz w:val="26"/>
          <w:szCs w:val="26"/>
        </w:rPr>
        <w:t xml:space="preserve">3. Mécanismes proposés</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Plusieurs mécanismes non exclusifs sont avancés dans la littérature pour expliquer l'effet anxiolytique de l'hypnose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Régulation du système nerveux autonome : l'état de relaxation profonde active le parasympathique, abaissant le rythme cardiaque et la tension musculaire.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Modification du traitement cognitif de la menace : les suggestions directes ou métaphoriques de sécurité recadrent l'interprétation des stimuli anxiogènes.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Dissociation attentionnelle : focaliser l'attention sur une image interne neutre ou positive « détourne » les ressources attentionnelles du contenu anxiogène.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Régulation émotionnelle : l'état hypnotique favorise un accès aux ressources internes sans la suractivation cognitive caractéristique de l'anxiété.</w:t>
      </w:r>
    </w:p>
    <w:p>
      <w:pPr>
        <w:spacing w:after="80" w:before="80"/>
        <w:jc w:val="both"/>
      </w:pPr>
      <w:r>
        <w:rPr>
          <w:rFonts w:ascii="Times New Roman" w:cs="Times New Roman" w:eastAsia="Times New Roman" w:hAnsi="Times New Roman"/>
          <w:b w:val="false"/>
          <w:bCs w:val="false"/>
          <w:i/>
          <w:iCs/>
          <w:color w:val="1F2937"/>
          <w:sz w:val="22"/>
          <w:szCs w:val="22"/>
        </w:rPr>
        <w:t xml:space="preserve">(Synthèse de la littérature — ces mécanismes ne sont pas encore tous validés par des études d'imagerie cérébrale robustes.)</w:t>
      </w:r>
    </w:p>
    <w:p>
      <w:pPr>
        <w:pStyle w:val="Heading3"/>
        <w:spacing w:after="80" w:before="240"/>
      </w:pPr>
      <w:r>
        <w:rPr>
          <w:rFonts w:ascii="Times New Roman" w:cs="Times New Roman" w:eastAsia="Times New Roman" w:hAnsi="Times New Roman"/>
          <w:b/>
          <w:bCs/>
          <w:color w:val="1F2937"/>
          <w:sz w:val="26"/>
          <w:szCs w:val="26"/>
        </w:rPr>
        <w:t xml:space="preserve">4. Ce que l'auto-hypnose ajoute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L'auto-hypnose présente un avantage spécifique pour la gestion du stress quotidien : elle est pratiquable seul, à tout moment, et son efficacité s'améliore avec l'entraînement (conditionnement). Les protocoles courts de 5 à 15 minutes peuvent s'intégrer à une routine quotidienne. Selon Psychology Today, environ 25 % des individus montreraient une hypnotisabilité faible, mais la plupart peuvent bénéficier d'un état de relaxation profonde même sans transe formelle.</w:t>
      </w:r>
    </w:p>
    <w:p>
      <w:pPr>
        <w:pStyle w:val="Heading3"/>
        <w:spacing w:after="80" w:before="240"/>
      </w:pPr>
      <w:r>
        <w:rPr>
          <w:rFonts w:ascii="Times New Roman" w:cs="Times New Roman" w:eastAsia="Times New Roman" w:hAnsi="Times New Roman"/>
          <w:b/>
          <w:bCs/>
          <w:color w:val="1F2937"/>
          <w:sz w:val="26"/>
          <w:szCs w:val="26"/>
        </w:rPr>
        <w:t xml:space="preserve">5. Limites importantes à connaître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effets les mieux documentés concernent l'anxiété situationnelle et procédurale, pas le trouble anxieux généralisé.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études sur le stress dans la population générale (non médicale) restent peu nombreuses et méthodologiquement fragiles.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L'hypnose ne remplace pas une psychothérapie ou un traitement médicamenteux pour les troubles anxieux diagnostiqués.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suggestibilité individuelle reste un facteur de variabilité non contrôlable.</w:t>
      </w:r>
    </w:p>
    <w:p>
      <w:r>
        <w:t xml:space="preserve"/>
      </w:r>
    </w:p>
    <w:p>
      <w:pPr>
        <w:pBdr>
          <w:bottom w:val="single" w:color="EEF2F7" w:sz="6"/>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Pratique (80 %) — Trois exercices progressifs</w:t>
      </w:r>
    </w:p>
    <w:p>
      <w:pPr>
        <w:pStyle w:val="Heading3"/>
        <w:spacing w:after="80" w:before="240"/>
      </w:pPr>
      <w:r>
        <w:rPr>
          <w:rFonts w:ascii="Times New Roman" w:cs="Times New Roman" w:eastAsia="Times New Roman" w:hAnsi="Times New Roman"/>
          <w:b/>
          <w:bCs/>
          <w:color w:val="1F2937"/>
          <w:sz w:val="26"/>
          <w:szCs w:val="26"/>
        </w:rPr>
        <w:t xml:space="preserve">Exercice 1 — Cartographier mon stress (compréhension active)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Durée : 10 minutes · Matériel : journal de pratique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Objectif : identifier ta « signature personnelle » du stress avant de pratiquer. L'auto-hypnose est plus efficace quand elle cible une sensation corporelle précise.</w:t>
      </w:r>
    </w:p>
    <w:p>
      <w:pPr>
        <w:spacing w:after="80" w:before="80"/>
        <w:jc w:val="both"/>
      </w:pPr>
      <w:r>
        <w:rPr>
          <w:rFonts w:ascii="Times New Roman" w:cs="Times New Roman" w:eastAsia="Times New Roman" w:hAnsi="Times New Roman"/>
          <w:b/>
          <w:bCs/>
          <w:i w:val="false"/>
          <w:iCs w:val="false"/>
          <w:color w:val="1F2937"/>
          <w:sz w:val="22"/>
          <w:szCs w:val="22"/>
        </w:rPr>
        <w:t xml:space="preserve">Protocole :</w:t>
      </w:r>
    </w:p>
    <w:p>
      <w:pPr>
        <w:spacing w:after="60" w:before="60"/>
        <w:ind w:left="431"/>
      </w:pPr>
      <w:r>
        <w:rPr>
          <w:rFonts w:ascii="Times New Roman" w:cs="Times New Roman" w:eastAsia="Times New Roman" w:hAnsi="Times New Roman"/>
          <w:color w:val="1F2937"/>
          <w:sz w:val="22"/>
          <w:szCs w:val="22"/>
        </w:rPr>
        <w:t xml:space="preserve">1. Prends 10 minutes dans un endroit calme. Ouvre ton journal de pratique.</w:t>
      </w:r>
    </w:p>
    <w:p>
      <w:pPr>
        <w:spacing w:after="60" w:before="60"/>
        <w:ind w:left="431"/>
      </w:pPr>
      <w:r>
        <w:rPr>
          <w:rFonts w:ascii="Times New Roman" w:cs="Times New Roman" w:eastAsia="Times New Roman" w:hAnsi="Times New Roman"/>
          <w:color w:val="1F2937"/>
          <w:sz w:val="22"/>
          <w:szCs w:val="22"/>
        </w:rPr>
        <w:t xml:space="preserve">2. Écris les 3 situations de ta semaine qui génèrent le plus de stress (professionnel, personnel, corporel).</w:t>
      </w:r>
    </w:p>
    <w:p>
      <w:pPr>
        <w:spacing w:after="60" w:before="60"/>
        <w:ind w:left="431"/>
      </w:pPr>
      <w:r>
        <w:rPr>
          <w:rFonts w:ascii="Times New Roman" w:cs="Times New Roman" w:eastAsia="Times New Roman" w:hAnsi="Times New Roman"/>
          <w:color w:val="1F2937"/>
          <w:sz w:val="22"/>
          <w:szCs w:val="22"/>
        </w:rPr>
        <w:t xml:space="preserve">3. Pour chaque situation, note : les sensations corporelles associées (localisation, intensité de 0 à 10), les pensées récurrentes (sans les censurer), la durée habituelle de la réaction.</w:t>
      </w:r>
    </w:p>
    <w:p>
      <w:pPr>
        <w:spacing w:after="60" w:before="60"/>
        <w:ind w:left="431"/>
      </w:pPr>
      <w:r>
        <w:rPr>
          <w:rFonts w:ascii="Times New Roman" w:cs="Times New Roman" w:eastAsia="Times New Roman" w:hAnsi="Times New Roman"/>
          <w:color w:val="1F2937"/>
          <w:sz w:val="22"/>
          <w:szCs w:val="22"/>
        </w:rPr>
        <w:t xml:space="preserve">4. Repère la situation et la sensation corporelle les plus présentes. Ce sera ton « signal cible » pour les exercices suivants.</w:t>
      </w:r>
    </w:p>
    <w:p>
      <w:pPr>
        <w:spacing w:after="80" w:before="80"/>
        <w:jc w:val="both"/>
      </w:pPr>
      <w:r>
        <w:rPr>
          <w:rFonts w:ascii="Times New Roman" w:cs="Times New Roman" w:eastAsia="Times New Roman" w:hAnsi="Times New Roman"/>
          <w:b w:val="false"/>
          <w:bCs w:val="false"/>
          <w:i/>
          <w:iCs/>
          <w:color w:val="1F2937"/>
          <w:sz w:val="22"/>
          <w:szCs w:val="22"/>
        </w:rPr>
        <w:t xml:space="preserve">À noter dans le journal : 'Mon signal cible principal est ... localisé dans ... avec une intensité de .../10 dans des situations de type...'</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2 — L'induction courte de régulation (pratique guidée pas à pas)</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Durée : 5 à 7 minutes · Fréquence : 3 fois cette semaine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Objectif : créer un protocole rapide et reproductible pour couper la réponse de stress dès qu'elle se déclenche. Ce protocole s'appuie sur les inductions vues aux leçons 5 et 6, et intègre l'ancrage de lieu sûr de la leçon 8.</w:t>
      </w:r>
    </w:p>
    <w:p>
      <w:pPr>
        <w:spacing w:after="80" w:before="80"/>
        <w:jc w:val="both"/>
      </w:pPr>
      <w:r>
        <w:rPr>
          <w:rFonts w:ascii="Times New Roman" w:cs="Times New Roman" w:eastAsia="Times New Roman" w:hAnsi="Times New Roman"/>
          <w:b/>
          <w:bCs/>
          <w:i w:val="false"/>
          <w:iCs w:val="false"/>
          <w:color w:val="1F2937"/>
          <w:sz w:val="22"/>
          <w:szCs w:val="22"/>
        </w:rPr>
        <w:t xml:space="preserve">Protocole pas à pas :</w:t>
      </w:r>
    </w:p>
    <w:p>
      <w:pPr>
        <w:spacing w:after="60" w:before="60"/>
        <w:ind w:left="431"/>
      </w:pPr>
      <w:r>
        <w:rPr>
          <w:rFonts w:ascii="Times New Roman" w:cs="Times New Roman" w:eastAsia="Times New Roman" w:hAnsi="Times New Roman"/>
          <w:color w:val="1F2937"/>
          <w:sz w:val="22"/>
          <w:szCs w:val="22"/>
        </w:rPr>
        <w:t xml:space="preserve">1. Position : assis, dos droit, pieds à plat au sol, mains sur les cuisses.</w:t>
      </w:r>
    </w:p>
    <w:p>
      <w:pPr>
        <w:spacing w:after="60" w:before="60"/>
        <w:ind w:left="431"/>
      </w:pPr>
      <w:r>
        <w:rPr>
          <w:rFonts w:ascii="Times New Roman" w:cs="Times New Roman" w:eastAsia="Times New Roman" w:hAnsi="Times New Roman"/>
          <w:color w:val="1F2937"/>
          <w:sz w:val="22"/>
          <w:szCs w:val="22"/>
        </w:rPr>
        <w:t xml:space="preserve">2. Induction regard fixe : fixe un point légèrement au-dessus de l'horizontale. Fais trois respirations lentes et profondes (inspiration 4s, expiration 6s). Laisse tes paupières s'alourdir naturellement.</w:t>
      </w:r>
    </w:p>
    <w:p>
      <w:pPr>
        <w:spacing w:after="60" w:before="60"/>
        <w:ind w:left="431"/>
      </w:pPr>
      <w:r>
        <w:rPr>
          <w:rFonts w:ascii="Times New Roman" w:cs="Times New Roman" w:eastAsia="Times New Roman" w:hAnsi="Times New Roman"/>
          <w:color w:val="1F2937"/>
          <w:sz w:val="22"/>
          <w:szCs w:val="22"/>
        </w:rPr>
        <w:t xml:space="preserve">3. Suggestion d'entrée : « Chaque expiration relâche un peu plus la tension. Mon corps connaît ce chemin. »</w:t>
      </w:r>
    </w:p>
    <w:p>
      <w:pPr>
        <w:spacing w:after="60" w:before="60"/>
        <w:ind w:left="431"/>
      </w:pPr>
      <w:r>
        <w:rPr>
          <w:rFonts w:ascii="Times New Roman" w:cs="Times New Roman" w:eastAsia="Times New Roman" w:hAnsi="Times New Roman"/>
          <w:color w:val="1F2937"/>
          <w:sz w:val="22"/>
          <w:szCs w:val="22"/>
        </w:rPr>
        <w:t xml:space="preserve">4. Approfondissement — escalier de 10 marches : compte mentalement de 10 à 1. À chaque chiffre, imagine descendre une marche vers ton lieu de calme (leçon 8). Laisse la détente s'approfondir à chaque palier.</w:t>
      </w:r>
    </w:p>
    <w:p>
      <w:pPr>
        <w:spacing w:after="60" w:before="60"/>
        <w:ind w:left="431"/>
      </w:pPr>
      <w:r>
        <w:rPr>
          <w:rFonts w:ascii="Times New Roman" w:cs="Times New Roman" w:eastAsia="Times New Roman" w:hAnsi="Times New Roman"/>
          <w:color w:val="1F2937"/>
          <w:sz w:val="22"/>
          <w:szCs w:val="22"/>
        </w:rPr>
        <w:t xml:space="preserve">5. Suggestion centrale (adapter au signal cible identifié en ex. 1) : « En ce moment, je suis en sécurité. La tension dans [zone du corps] peut se relâcher. Mon souffle règle le rythme. »</w:t>
      </w:r>
    </w:p>
    <w:p>
      <w:pPr>
        <w:spacing w:after="60" w:before="60"/>
        <w:ind w:left="431"/>
      </w:pPr>
      <w:r>
        <w:rPr>
          <w:rFonts w:ascii="Times New Roman" w:cs="Times New Roman" w:eastAsia="Times New Roman" w:hAnsi="Times New Roman"/>
          <w:color w:val="1F2937"/>
          <w:sz w:val="22"/>
          <w:szCs w:val="22"/>
        </w:rPr>
        <w:t xml:space="preserve">6. Pause : reste dans cet état pendant 2 à 3 minutes, en laissant le souffle comme seul ancrage.</w:t>
      </w:r>
    </w:p>
    <w:p>
      <w:pPr>
        <w:spacing w:after="60" w:before="60"/>
        <w:ind w:left="431"/>
      </w:pPr>
      <w:r>
        <w:rPr>
          <w:rFonts w:ascii="Times New Roman" w:cs="Times New Roman" w:eastAsia="Times New Roman" w:hAnsi="Times New Roman"/>
          <w:color w:val="1F2937"/>
          <w:sz w:val="22"/>
          <w:szCs w:val="22"/>
        </w:rPr>
        <w:t xml:space="preserve">7. Sortie : compte de 1 à 5. À 3, un mouvement léger des doigts. À 5, yeux ouverts, présent et reposé.</w:t>
      </w:r>
    </w:p>
    <w:p>
      <w:pPr>
        <w:spacing w:after="80" w:before="80"/>
        <w:jc w:val="both"/>
      </w:pPr>
      <w:r>
        <w:rPr>
          <w:rFonts w:ascii="Times New Roman" w:cs="Times New Roman" w:eastAsia="Times New Roman" w:hAnsi="Times New Roman"/>
          <w:b w:val="false"/>
          <w:bCs w:val="false"/>
          <w:i/>
          <w:iCs/>
          <w:color w:val="1F2937"/>
          <w:sz w:val="22"/>
          <w:szCs w:val="22"/>
        </w:rPr>
        <w:t xml:space="preserve">Mesure à noter dans le journal : intensité du signal cible avant (0-10) et après (0-10). Observer la tendance sur les 3 sessions.</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3 — Le scanner corporel anti-stress (observation de son propre état)</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Durée : 15 minutes · Fréquence : 1 fois cette semaine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Objectif : apprendre à détecter et dissoudre les tensions avant qu'elles ne s'installent, en combinant l'attention corporelle et la suggestion hypnotique.</w:t>
      </w:r>
    </w:p>
    <w:p>
      <w:pPr>
        <w:spacing w:after="80" w:before="80"/>
        <w:jc w:val="both"/>
      </w:pPr>
      <w:r>
        <w:rPr>
          <w:rFonts w:ascii="Times New Roman" w:cs="Times New Roman" w:eastAsia="Times New Roman" w:hAnsi="Times New Roman"/>
          <w:b/>
          <w:bCs/>
          <w:i w:val="false"/>
          <w:iCs w:val="false"/>
          <w:color w:val="1F2937"/>
          <w:sz w:val="22"/>
          <w:szCs w:val="22"/>
        </w:rPr>
        <w:t xml:space="preserve">Protocole pas à pas :</w:t>
      </w:r>
    </w:p>
    <w:p>
      <w:pPr>
        <w:spacing w:after="60" w:before="60"/>
        <w:ind w:left="431"/>
      </w:pPr>
      <w:r>
        <w:rPr>
          <w:rFonts w:ascii="Times New Roman" w:cs="Times New Roman" w:eastAsia="Times New Roman" w:hAnsi="Times New Roman"/>
          <w:color w:val="1F2937"/>
          <w:sz w:val="22"/>
          <w:szCs w:val="22"/>
        </w:rPr>
        <w:t xml:space="preserve">1. Allonge-toi ou assieds-toi confortablement. Yeux fermés.</w:t>
      </w:r>
    </w:p>
    <w:p>
      <w:pPr>
        <w:spacing w:after="60" w:before="60"/>
        <w:ind w:left="431"/>
      </w:pPr>
      <w:r>
        <w:rPr>
          <w:rFonts w:ascii="Times New Roman" w:cs="Times New Roman" w:eastAsia="Times New Roman" w:hAnsi="Times New Roman"/>
          <w:color w:val="1F2937"/>
          <w:sz w:val="22"/>
          <w:szCs w:val="22"/>
        </w:rPr>
        <w:t xml:space="preserve">2. Induction rapide : trois respirations profondes, suggestion : « À chaque expiration, le corps s'installe, le mental ralentit. »</w:t>
      </w:r>
    </w:p>
    <w:p>
      <w:pPr>
        <w:spacing w:after="60" w:before="60"/>
        <w:ind w:left="431"/>
      </w:pPr>
      <w:r>
        <w:rPr>
          <w:rFonts w:ascii="Times New Roman" w:cs="Times New Roman" w:eastAsia="Times New Roman" w:hAnsi="Times New Roman"/>
          <w:color w:val="1F2937"/>
          <w:sz w:val="22"/>
          <w:szCs w:val="22"/>
        </w:rPr>
        <w:t xml:space="preserve">3. Scanner de la tête aux pieds : déplace lentement ton attention de la couronne du crâne jusqu'aux orteils. Note chaque zone de tension, sans chercher à la corriger encore.</w:t>
      </w:r>
    </w:p>
    <w:p>
      <w:pPr>
        <w:spacing w:after="60" w:before="60"/>
        <w:ind w:left="431"/>
      </w:pPr>
      <w:r>
        <w:rPr>
          <w:rFonts w:ascii="Times New Roman" w:cs="Times New Roman" w:eastAsia="Times New Roman" w:hAnsi="Times New Roman"/>
          <w:color w:val="1F2937"/>
          <w:sz w:val="22"/>
          <w:szCs w:val="22"/>
        </w:rPr>
        <w:t xml:space="preserve">4. Retour sur la zone principale : localise la zone la plus tendue. Visualise une lumière dorée et chaude qui se concentre en ce point.</w:t>
      </w:r>
    </w:p>
    <w:p>
      <w:pPr>
        <w:spacing w:after="60" w:before="60"/>
        <w:ind w:left="431"/>
      </w:pPr>
      <w:r>
        <w:rPr>
          <w:rFonts w:ascii="Times New Roman" w:cs="Times New Roman" w:eastAsia="Times New Roman" w:hAnsi="Times New Roman"/>
          <w:color w:val="1F2937"/>
          <w:sz w:val="22"/>
          <w:szCs w:val="22"/>
        </w:rPr>
        <w:t xml:space="preserve">5. Suggestion : « Cette chaleur est ma propre capacité de récupération. Je lui laisse le temps d'agir. La tension n'a plus de rôle à jouer ici. »</w:t>
      </w:r>
    </w:p>
    <w:p>
      <w:pPr>
        <w:spacing w:after="60" w:before="60"/>
        <w:ind w:left="431"/>
      </w:pPr>
      <w:r>
        <w:rPr>
          <w:rFonts w:ascii="Times New Roman" w:cs="Times New Roman" w:eastAsia="Times New Roman" w:hAnsi="Times New Roman"/>
          <w:color w:val="1F2937"/>
          <w:sz w:val="22"/>
          <w:szCs w:val="22"/>
        </w:rPr>
        <w:t xml:space="preserve">6. Observe la sensation qui émerge (légèreté, chaleur, lourdeur agréable, picotements) sans la nommer ni l'analyser — juste l'accueillir.</w:t>
      </w:r>
    </w:p>
    <w:p>
      <w:pPr>
        <w:spacing w:after="60" w:before="60"/>
        <w:ind w:left="431"/>
      </w:pPr>
      <w:r>
        <w:rPr>
          <w:rFonts w:ascii="Times New Roman" w:cs="Times New Roman" w:eastAsia="Times New Roman" w:hAnsi="Times New Roman"/>
          <w:color w:val="1F2937"/>
          <w:sz w:val="22"/>
          <w:szCs w:val="22"/>
        </w:rPr>
        <w:t xml:space="preserve">7. Sortie : compte de 1 à 5, étirements doux, quelques secondes avant de te lever.</w:t>
      </w:r>
    </w:p>
    <w:p>
      <w:pPr>
        <w:spacing w:after="80" w:before="80"/>
        <w:jc w:val="both"/>
      </w:pPr>
      <w:r>
        <w:rPr>
          <w:rFonts w:ascii="Times New Roman" w:cs="Times New Roman" w:eastAsia="Times New Roman" w:hAnsi="Times New Roman"/>
          <w:b w:val="false"/>
          <w:bCs w:val="false"/>
          <w:i/>
          <w:iCs/>
          <w:color w:val="1F2937"/>
          <w:sz w:val="22"/>
          <w:szCs w:val="22"/>
        </w:rPr>
        <w:t xml:space="preserve">À noter dans le journal : zones détectées, zone principale, sensation émergente, durée effective.</w:t>
      </w:r>
    </w:p>
    <w:p>
      <w:r>
        <w:t xml:space="preserve"/>
      </w:r>
    </w:p>
    <w:p>
      <w:pPr>
        <w:pBdr>
          <w:bottom w:val="single" w:color="EEF2F7" w:sz="6"/>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Challenge — Construire son protocole personnel anti-stress</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Durée cible : 10 minutes · Appui : journal de pratique</w:t>
      </w:r>
    </w:p>
    <w:p>
      <w:pPr>
        <w:pBdr>
          <w:top w:val="single" w:color="CCCCCC" w:sz="6"/>
          <w:bottom w:val="single" w:color="CCCCCC" w:sz="6"/>
          <w:left w:val="single" w:color="1B3A6B" w:sz="12"/>
          <w:right w:val="single" w:color="CCCCCC" w:sz="6"/>
        </w:pBdr>
        <w:shd w:fill="F3F4F6" w:val="clear"/>
        <w:spacing w:after="140" w:before="140"/>
        <w:ind w:left="288" w:right="288"/>
      </w:pPr>
      <w:r>
        <w:rPr>
          <w:rFonts w:ascii="Times New Roman" w:cs="Times New Roman" w:eastAsia="Times New Roman" w:hAnsi="Times New Roman"/>
          <w:color w:val="1F2937"/>
          <w:sz w:val="22"/>
          <w:szCs w:val="22"/>
        </w:rPr>
        <w:t xml:space="preserve">En t'appuyant sur tout ce que tu as construit depuis la leçon 5, conçois ton propre protocole de 10 minutes spécifiquement adapté à ta situation de stress principale (identifiée en exercice 1).</w:t>
      </w:r>
      <w:r>
        <w:rPr>
          <w:rFonts w:ascii="Times New Roman" w:cs="Times New Roman" w:eastAsia="Times New Roman" w:hAnsi="Times New Roman"/>
          <w:color w:val="1F2937"/>
          <w:sz w:val="22"/>
          <w:szCs w:val="22"/>
        </w:rPr>
        <w:br/>
        <w:t xml:space="preserve"/>
      </w:r>
      <w:r>
        <w:rPr>
          <w:rFonts w:ascii="Times New Roman" w:cs="Times New Roman" w:eastAsia="Times New Roman" w:hAnsi="Times New Roman"/>
          <w:color w:val="1F2937"/>
          <w:sz w:val="22"/>
          <w:szCs w:val="22"/>
        </w:rPr>
        <w:br/>
        <w:t xml:space="preserve">Structure à rédiger dans le journal :</w:t>
      </w:r>
      <w:r>
        <w:rPr>
          <w:rFonts w:ascii="Times New Roman" w:cs="Times New Roman" w:eastAsia="Times New Roman" w:hAnsi="Times New Roman"/>
          <w:color w:val="1F2937"/>
          <w:sz w:val="22"/>
          <w:szCs w:val="22"/>
        </w:rPr>
        <w:br/>
        <w:t xml:space="preserve">1. Induction choisie (laquelle ? pourquoi ?)  2. Approfondissement préféré (escalier, chemin, autre)  3. Suggestion centrale sur mesure (formulée à la première personne)  4. Durée et sortie prévues</w:t>
      </w:r>
      <w:r>
        <w:rPr>
          <w:rFonts w:ascii="Times New Roman" w:cs="Times New Roman" w:eastAsia="Times New Roman" w:hAnsi="Times New Roman"/>
          <w:color w:val="1F2937"/>
          <w:sz w:val="22"/>
          <w:szCs w:val="22"/>
        </w:rPr>
        <w:br/>
        <w:t xml:space="preserve"/>
      </w:r>
      <w:r>
        <w:rPr>
          <w:rFonts w:ascii="Times New Roman" w:cs="Times New Roman" w:eastAsia="Times New Roman" w:hAnsi="Times New Roman"/>
          <w:color w:val="1F2937"/>
          <w:sz w:val="22"/>
          <w:szCs w:val="22"/>
        </w:rPr>
        <w:br/>
        <w:t xml:space="preserve">Teste-le une fois cette semaine. Note ce qui a fonctionné, ce qui reste à ajuster.</w:t>
      </w:r>
      <w:r>
        <w:rPr>
          <w:rFonts w:ascii="Times New Roman" w:cs="Times New Roman" w:eastAsia="Times New Roman" w:hAnsi="Times New Roman"/>
          <w:color w:val="1F2937"/>
          <w:sz w:val="22"/>
          <w:szCs w:val="22"/>
        </w:rPr>
        <w:br/>
        <w:t xml:space="preserve">Objectif à terme : un protocole que tu peux déclencher en &lt; 10 minutes, avant ou après une situation stressante identifiée.</w:t>
      </w:r>
    </w:p>
    <w:p>
      <w:r>
        <w:t xml:space="preserve"/>
      </w:r>
    </w:p>
    <w:p>
      <w:pPr>
        <w:pBdr>
          <w:bottom w:val="single" w:color="EEF2F7" w:sz="6"/>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Pont pro (développement personnel)</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 régulation du stress est une compétence clé pour un cadre de proximité exposé à des situations à fort contenu émotionnel : entretiens difficiles, situations de crise, réunions d'urgence. Pratiquer l'auto-hypnose de façon régulière peut contribuer à ta régulation émotionnelle personnelle, avant ou après ces moments.</w:t>
      </w:r>
    </w:p>
    <w:p>
      <w:pPr>
        <w:spacing w:after="80" w:before="80"/>
        <w:jc w:val="both"/>
      </w:pPr>
      <w:r>
        <w:rPr>
          <w:rFonts w:ascii="Times New Roman" w:cs="Times New Roman" w:eastAsia="Times New Roman" w:hAnsi="Times New Roman"/>
          <w:b w:val="false"/>
          <w:bCs w:val="false"/>
          <w:i/>
          <w:iCs/>
          <w:color w:val="1F2937"/>
          <w:sz w:val="22"/>
          <w:szCs w:val="22"/>
        </w:rPr>
        <w:t xml:space="preserve">C'est une ressource de préparation personnelle, pas un outil à transmettre à l'équipe ni à pratiquer sur les personnes accompagnées. L'appropriation personnelle précède toujours, si elle est pertinente, toute réflexion collective.</w:t>
      </w:r>
    </w:p>
    <w:p>
      <w:r>
        <w:t xml:space="preserve"/>
      </w:r>
    </w:p>
    <w:p>
      <w:pPr>
        <w:pBdr>
          <w:bottom w:val="single" w:color="EEF2F7" w:sz="6"/>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Sources institutionnelles et scientifiques (toutes vérifiées le 08/09/2026) :</w:t>
      </w:r>
    </w:p>
    <w:p>
      <w:pPr>
        <w:pStyle w:val="ListParagraph"/>
        <w:numPr>
          <w:ilvl w:val="0"/>
          <w:numId w:val="1"/>
        </w:numPr>
        <w:spacing w:after="60" w:before="60"/>
      </w:pPr>
      <w:hyperlink w:history="1" r:id="rIdlkyght_qvfb-lahnba-97">
        <w:r>
          <w:rPr>
            <w:rFonts w:ascii="Times New Roman" w:cs="Times New Roman" w:eastAsia="Times New Roman" w:hAnsi="Times New Roman"/>
            <w:color w:val="1155CC"/>
            <w:sz w:val="22"/>
            <w:szCs w:val="22"/>
            <w:u w:val="single" w:color="1155CC"/>
          </w:rPr>
          <w:t xml:space="preserve">Rosendahl, Alldredge &amp; Haddenhorst (2024). « Meta-analytic evidence on the efficacy of hypnosis for mental and somatic health issues: a 20-year perspective. » Frontiers in Psychology, 14:1330238.</w:t>
        </w:r>
      </w:hyperlink>
    </w:p>
    <w:p>
      <w:pPr>
        <w:pStyle w:val="ListParagraph"/>
        <w:numPr>
          <w:ilvl w:val="0"/>
          <w:numId w:val="1"/>
        </w:numPr>
        <w:spacing w:after="60" w:before="60"/>
      </w:pPr>
      <w:hyperlink w:history="1" r:id="rIdc0qc02tmroex5znvx3w2j">
        <w:r>
          <w:rPr>
            <w:rFonts w:ascii="Times New Roman" w:cs="Times New Roman" w:eastAsia="Times New Roman" w:hAnsi="Times New Roman"/>
            <w:color w:val="1155CC"/>
            <w:sz w:val="22"/>
            <w:szCs w:val="22"/>
            <w:u w:val="single" w:color="1155CC"/>
          </w:rPr>
          <w:t xml:space="preserve">Fisch, Brinkhaus &amp; Teut (2017). « Hypnosis in patients with perceived stress – a systematic review. » BMC Complementary and Alternative Medicine, 17:323.</w:t>
        </w:r>
      </w:hyperlink>
    </w:p>
    <w:p>
      <w:pPr>
        <w:pStyle w:val="ListParagraph"/>
        <w:numPr>
          <w:ilvl w:val="0"/>
          <w:numId w:val="1"/>
        </w:numPr>
        <w:spacing w:after="60" w:before="60"/>
      </w:pPr>
      <w:hyperlink w:history="1" r:id="rIdmph0x87ms8a2w8o7zysl_">
        <w:r>
          <w:rPr>
            <w:rFonts w:ascii="Times New Roman" w:cs="Times New Roman" w:eastAsia="Times New Roman" w:hAnsi="Times New Roman"/>
            <w:color w:val="1155CC"/>
            <w:sz w:val="22"/>
            <w:szCs w:val="22"/>
            <w:u w:val="single" w:color="1155CC"/>
          </w:rPr>
          <w:t xml:space="preserve">INSERM (2015). Évaluation de l'efficacité de la pratique de l'hypnose. Rapport thématique.</w:t>
        </w:r>
      </w:hyperlink>
    </w:p>
    <w:p>
      <w:pPr>
        <w:pStyle w:val="ListParagraph"/>
        <w:numPr>
          <w:ilvl w:val="0"/>
          <w:numId w:val="1"/>
        </w:numPr>
        <w:spacing w:after="60" w:before="60"/>
      </w:pPr>
      <w:hyperlink w:history="1" r:id="rId9p7si_9d9y_wj4tf8ecrq">
        <w:r>
          <w:rPr>
            <w:rFonts w:ascii="Times New Roman" w:cs="Times New Roman" w:eastAsia="Times New Roman" w:hAnsi="Times New Roman"/>
            <w:color w:val="1155CC"/>
            <w:sz w:val="22"/>
            <w:szCs w:val="22"/>
            <w:u w:val="single" w:color="1155CC"/>
          </w:rPr>
          <w:t xml:space="preserve">Psychology Today. « Hypnosis » — Basics (vulgarisation sérieuse, mise à jour régulière).</w:t>
        </w:r>
      </w:hyperlink>
    </w:p>
    <w:p>
      <w:pPr>
        <w:pStyle w:val="ListParagraph"/>
        <w:numPr>
          <w:ilvl w:val="0"/>
          <w:numId w:val="1"/>
        </w:numPr>
        <w:spacing w:after="60" w:before="60"/>
      </w:pPr>
      <w:hyperlink w:history="1" r:id="rIddw-v8hvdxnjaipnydvpdg">
        <w:r>
          <w:rPr>
            <w:rFonts w:ascii="Times New Roman" w:cs="Times New Roman" w:eastAsia="Times New Roman" w:hAnsi="Times New Roman"/>
            <w:color w:val="1155CC"/>
            <w:sz w:val="22"/>
            <w:szCs w:val="22"/>
            <w:u w:val="single" w:color="1155CC"/>
          </w:rPr>
          <w:t xml:space="preserve">Wikipedia. « Hypnosis » — article de synthèse avec bibliographie primaire.</w:t>
        </w:r>
      </w:hyperlink>
    </w:p>
    <w:p>
      <w:r>
        <w:t xml:space="preserve"/>
      </w:r>
    </w:p>
    <w:p>
      <w:pPr>
        <w:spacing w:after="80" w:before="80"/>
        <w:jc w:val="both"/>
      </w:pPr>
      <w:r>
        <w:rPr>
          <w:rFonts w:ascii="Times New Roman" w:cs="Times New Roman" w:eastAsia="Times New Roman" w:hAnsi="Times New Roman"/>
          <w:b w:val="false"/>
          <w:bCs w:val="false"/>
          <w:i/>
          <w:iCs/>
          <w:color w:val="777777"/>
          <w:sz w:val="22"/>
          <w:szCs w:val="22"/>
        </w:rPr>
        <w:t xml:space="preserve">⚠️ Signalement (règle E) : Cairn.info (chapitre « Hypnose et troubles anxieux », ouvrage Quinze pratiques en hypnose médicale) renvoie un 403 — contenu non accessible automatiquement, non cité en contenu. PMC Search a renvoyé un 403 initial (redirection résolue). Toutes les affirmations de la leçon sont issues des 5 sources ci-dessus, effectivement consultées.</w:t>
      </w:r>
    </w:p>
    <w:p>
      <w:r>
        <w:t xml:space="preserve"/>
      </w:r>
    </w:p>
    <w:p>
      <w:pPr>
        <w:pBdr>
          <w:bottom w:val="single" w:color="EEF2F7" w:sz="6"/>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Leçon 14 / 20 — L'hypnose conversationnelle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Comment les suggestions indirectes, le langage de présupposition et le « saupoudrage » fonctionnent dans une conversation ordinaire. Origines ericksoniennes, applications pratiques, limites éthiques.</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kyght_qvfb-lahnba-97" Type="http://schemas.openxmlformats.org/officeDocument/2006/relationships/hyperlink" Target="https://pmc.ncbi.nlm.nih.gov/articles/PMC10807512/" TargetMode="External"/><Relationship Id="rIdc0qc02tmroex5znvx3w2j" Type="http://schemas.openxmlformats.org/officeDocument/2006/relationships/hyperlink" Target="https://pmc.ncbi.nlm.nih.gov/articles/PMC5477290/" TargetMode="External"/><Relationship Id="rIdmph0x87ms8a2w8o7zysl_" Type="http://schemas.openxmlformats.org/officeDocument/2006/relationships/hyperlink" Target="https://www.inserm.fr/rapport/evaluation-de-lefficacite-de-la-pratique-de-lhypnose-2015/" TargetMode="External"/><Relationship Id="rId9p7si_9d9y_wj4tf8ecrq" Type="http://schemas.openxmlformats.org/officeDocument/2006/relationships/hyperlink" Target="https://www.psychologytoday.com/us/basics/hypnosis" TargetMode="External"/><Relationship Id="rIddw-v8hvdxnjaipnydvpdg" Type="http://schemas.openxmlformats.org/officeDocument/2006/relationships/hyperlink" Target="https://en.wikipedia.org/wiki/Hypnosi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2026-09-08T07:07:49.133Z</dcterms:created>
  <dcterms:modified xsi:type="dcterms:W3CDTF">2026-09-08T07:07:49.136Z</dcterms:modified>
</cp:coreProperties>
</file>

<file path=docProps/custom.xml><?xml version="1.0" encoding="utf-8"?>
<Properties xmlns="http://schemas.openxmlformats.org/officeDocument/2006/custom-properties" xmlns:vt="http://schemas.openxmlformats.org/officeDocument/2006/docPropsVTypes"/>
</file>