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Psychopathologie clinique n°02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2937"/>
          <w:sz w:val="32"/>
          <w:szCs w:val="32"/>
        </w:rPr>
        <w:t xml:space="preserve">Normal et Pathologique — Critères, Continuum, Classifications CIM-11 &amp; DSM-5-TR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Date : 22 juin 2026  •  Module Fondamental — Leçon 2/16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Parcours : Introduction (L1) ✓  →  Normal/Pathologique (L2)  →  Sémiologie (L3)…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⚠️ Cadre déontologique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Ces leçons visent à COMPRENDRE la psychopathologie pour mieux observer, accompagner et orienter — en aucun cas à poser un diagnostic, acte réservé aux médecins psychiatres et psychologues cliniciens. Posture non stigmatisante, centrée sur la personne et le rétablissement.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et continuité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l'issue de cette leçon, tu seras capable de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Distinguer le normal du pathologique à l'aide de critères opérationnels (souffrance, durée, retentissement, inadaptation)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Situer un symptôme sur un continuum plutôt que dans une case binaire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Différencier les deux grandes classifications mondiales (CIM-11 et DSM-5-TR) et comprendre leur usage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Appliquer ces repères à des situations d'accompagnement en ESSMS</w:t>
      </w:r>
    </w:p>
    <w:p>
      <w:pPr>
        <w:spacing w:after="80" w:before="8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🔗 Lien avec la L1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leçon 1 a posé les grands modèles explicatifs de la psychopathologie (médical, psychanalytique, cognitivo-comportemental, phénoménologique, systémique). Cette leçon 2 répond à la question préalable à tout modèle : à partir de quand parle-t-on réellement de pathologie ? Et comment les systèmes internationaux organisent-ils cette réponse ?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 — Les fondamentaux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La question fondamentale : où commence le pathologique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frontière entre le normal et le pathologique n'est pas une ligne nette — c'est une zone de gradient. Canguilhem (1943) l'a montré : la norme est relative à l'individu et à son milieu. Ce qui est pathologique pour l'un peut être adaptatif pour un autre.</w:t>
      </w:r>
    </w:p>
    <w:p>
      <w:pPr>
        <w:spacing w:after="6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Quatre grands modèles de définition coexistent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statistique : est pathologique ce qui s'écarte significativement de la moyenne. Limite : le génie et le retard intellectuel sévère seraient tous deux 'pathologiques'.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médical/biologique : est pathologique ce qui résulte d'un dysfonctionnement organique ou neurochimique. Limite : réduit la psychopathologie à la biologie.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normatif/social : est pathologique ce qui transgresse les normes sociales et culturelles. Limite : le conformisme devient critère de santé (risques évidents).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fonctionnel et subjectif (consensus actuel) : est pathologique ce qui génère une souffrance significative ET/OU un retentissement fonctionnel — indépendamment de la norme statistique ou sociale.</w:t>
      </w:r>
    </w:p>
    <w:p>
      <w:pPr>
        <w:spacing w:after="80" w:before="80"/>
      </w:pPr>
    </w:p>
    <w:p>
      <w:pPr>
        <w:shd w:fill="F3F4F6" w:val="clear"/>
        <w:spacing w:after="100" w:before="100"/>
        <w:ind w:lef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Les symptômes entraînent une souffrance cliniquement significative ou une altération du fonctionnement social, professionnel ou dans d'autres domaines importants. — DSM-5-TR, APA (2022) »</w:t>
      </w:r>
    </w:p>
    <w:p>
      <w:pPr>
        <w:spacing w:after="80" w:before="8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Les critères opérationnels — Le tableau de référence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consensus actuel (DSM-5-TR / CIM-11) retient un faisceau de critères 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concret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Souffrance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L'individu vit une détresse subjective significative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Anxiété paralysante quotidienne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Durée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Persistance dans le temps au-delà d'un seuil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Dépression &gt; 2 semaines (DSM-5-TR)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Retentissement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Altération du fonctionnement social, pro, familial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Incapacité à travailler ou à maintenir des liens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Inadaptation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Réponse non ajustée au contexte environnemental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Phobie sociale invalidante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Déviance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Écart aux normes (critère insuffisant seul)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Délire à distinguer de la créativité</w:t>
            </w:r>
          </w:p>
        </w:tc>
      </w:tr>
    </w:tbl>
    <w:p>
      <w:pPr>
        <w:spacing w:after="40" w:before="10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💡 Règle du faisceau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Aucun critère isolé ne suffit. C'est la COMBINAISON souffrance + durée + retentissement qui permet de qualifier un trouble. Un seuil de gravité est toujours précisé dans les classifications.</w:t>
      </w:r>
    </w:p>
    <w:p>
      <w:pPr>
        <w:spacing w:after="80" w:before="10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Le continuum normal-pathologique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recherches contemporaines (dont les travaux du HiTOP — Hierarchical Taxonomy of Psychopathology) soutiennent que la plupart des troubles s'inscrivent sur un continuum dimensionnel, et non dans des catégories étanches.</w:t>
      </w:r>
    </w:p>
    <w:p>
      <w:pPr>
        <w:spacing w:after="6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Exemple : l'anxiété existe chez tout le monde. Elle devient pathologique quand elle est persistante, disproportionnée, et qu'elle altère le fonctionnement quotidien — pas parce qu'elle appartient à une 'catégorie' différente de l'anxiété normale.</w:t>
      </w:r>
    </w:p>
    <w:p>
      <w:pPr>
        <w:spacing w:after="60" w:before="60"/>
      </w:pPr>
    </w:p>
    <w:p>
      <w:pPr>
        <w:shd w:fill="F3F4F6" w:val="clear"/>
        <w:spacing w:after="100" w:before="100"/>
        <w:ind w:lef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La psychanalyse ne considère pas de différence qualitative entre normal et pathologique : le pathologique est une question de degré. — Freud, repris dans Cairn.info, Research in Psychoanalysis, 2018 »</w:t>
      </w:r>
    </w:p>
    <w:p>
      <w:pPr>
        <w:spacing w:after="80" w:before="10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Les deux grandes classifications : CIM-11 vs DSM-5-TR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 sont les deux références mondiales pour identifier et nommer les troubles mentaux. Elles ne s'opposent pas mais répondent à des logiques différentes 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DSM-5-TR (APA, 2022)</w:t>
            </w:r>
          </w:p>
        </w:tc>
        <w:tc>
          <w:tcPr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CIM-11 (OMS, 2022)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Origine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Américaine — American Psychiatric Association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Internationale — OMS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Usage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Recherche + clinique (USA + monde entier)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Standard officiel international (Europe, FR)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Approche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Catégorielle (+ sections dimensionnelles)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Catégorielle + dimensionnelle (personnalité)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Nouveautés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Révision TR : critères affinés, spectre transdiag.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Troubles complexes, sensibilité culturelle, lifecourse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Diagnostic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Critères précis en listes (checklists)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Descriptions cliniques + exigences diagnostiques</w:t>
            </w:r>
          </w:p>
        </w:tc>
      </w:tr>
    </w:tbl>
    <w:p>
      <w:pPr>
        <w:spacing w:after="80" w:before="10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🆕 CIM-11 (2022)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manuel CDDR 2024 (Clinical Descriptions and Diagnostic Requirements) publié par l'OMS en mars 2024 intègre : le TSPT complexe, le trouble du jeu vidéo, le trouble du deuil prolongé. Il adopte une approche 'lifecourse' (enfance → grand âge) et est sensible à la diversité culturelle. Source : OMS, communiqué 08/03/2024.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 — Mise en application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Décoder les critères en situation (compréhension active)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Lis les trois vignettes ci-dessous. Pour chacune, réponds aux questions en t'appuyant sur les critères du tableau de référence.</w:t>
      </w:r>
    </w:p>
    <w:p>
      <w:pPr>
        <w:spacing w:after="60" w:before="6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Vignette A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Marc, 45 ans, vient de perdre son père. Depuis 3 semaines, il pleure fréquemment, dort mal, mange peu et a du mal à se concentrer au travail. Il dit se sentir 'vide'. Ses collègues remarquent qu'il est moins efficace, mais il parvient encore à accomplir ses missions essentielles.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Vignette B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Sophie, 32 ans, ne sort plus de chez elle depuis 4 mois par peur de croiser des inconnus. Elle a perdu son emploi, ses amis ne la voient plus. Elle dit que 'le monde extérieur est insupportable' mais n'identifie pas cela comme un problème.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Vignette C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Thomas, 22 ans, passe 6h par jour à vérifier qu'il a bien fermé les portes et éteint le gaz. Il le sait rationnel lui-même, mais l'angoisse revient dès qu'il arrête. Il arrive systématiquement en retard à ses rendez-vous.</w:t>
      </w:r>
    </w:p>
    <w:p>
      <w:pPr>
        <w:spacing w:after="6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chaque vignette, note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Quels critères sont présents parmi : souffrance / durée / retentissement / inadaptation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S'agirait-il plutôt d'une réaction normale, d'une zone grise, ou d'un trouble probable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Quelle classification (CIM-11 / DSM-5-TR) utiliserais-tu si tu travaillais avec l'équipe médicale pour en parler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(Réponses en fin de section — ou mets en pause et réfléchis avant de lire la suite.)</w:t>
      </w:r>
    </w:p>
    <w:p>
      <w:pPr>
        <w:spacing w:after="80" w:before="8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💬 Repères pour les vignettes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 : deuil normal (&lt; 2 mois, retentissement partiel) — pas de trouble selon DSM-5-TR si les critères durée/retentissement ne sont pas franchis. B : probable phobie sociale sévère / agoraphobie — tous les critères sont présents (durée, retentissement majeur). C : compatible TOC (obsessions + compulsions + retentissement + conscience de l'irrationalité = critère typique). Marc = zone grise à surveiller ; Sophie et Thomas = trouble probable nécessitant une orientation.</w:t>
      </w:r>
    </w:p>
    <w:p>
      <w:pPr>
        <w:spacing w:after="80" w:before="12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Cartographier le continuum (repérage)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Place les situations suivantes sur un axe de continuum allant de 'Normal/Adaptatif' à 'Pathologique probable'. Justifie chaque placement par un ou plusieurs critères.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adolescent qui mange peu avant un examen important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personne qui ne mange plus depuis 3 mois et a perdu 15kg (anorexie restrictive sévère)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manager qui vérifie 2x ses emails importants avant envoi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professionnel qui ne peut pas quitter le travail sans avoir relu chaque document 10 fois pendant 2 heures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personne deuillée qui pleure encore 3 semaines après le décès de son conjoint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personne qui présente un syndrome de deuil prolongé, 18 mois après le décès, avec isolement complet</w:t>
      </w:r>
    </w:p>
    <w:p>
      <w:pPr>
        <w:spacing w:after="6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Réflexion complémentaire : que remarques-tu dans tes placements ? Y a-t-il des cas où tu as hésité ? Qu'est-ce qui a rendu la décision difficile ?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🎯 Objectif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Intérioriser que la distinction n'est pas une case à cocher, mais une appréciation clinique qui tient compte du contexte, de la durée, et de l'intensité. Les situations 1, 3, 5 sont dans la zone normale/adaptative ; 2, 4, 6 sont dans la zone trouble probable.</w:t>
      </w:r>
    </w:p>
    <w:p>
      <w:pPr>
        <w:spacing w:after="80" w:before="12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Manipuler les classifications (pratique concrète)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te familiariser avec la logique des deux classifications, sans poser de diagnostic.</w:t>
      </w:r>
    </w:p>
    <w:p>
      <w:pPr>
        <w:spacing w:after="6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1 — Consulte la structure générale de la CIM-11 pour les troubles mentaux 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sfbupbxwdfnrkqcs6obo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CIM-11 — Troubles mentaux, du comportement et du neurodéveloppement (Chapitre 6)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2 — Repère les grandes catégories du Chapitre 6 (ex. : Troubles anxieux, Troubles de l'humeur, Troubles psychotiques…).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3 — Pour l'une de ces catégories, note la définition générale proposée par l'OMS. Que dit-elle sur les critères de durée et de retentissement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4 — Compare avec ce que tu saurais du DSM-5-TR sur la même catégorie (souvenir ou recherche libre). Y a-t-il des différences notables ?</w:t>
      </w:r>
    </w:p>
    <w:p>
      <w:pPr>
        <w:spacing w:after="60" w:before="6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💡 Ce que tu entraînes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capacité à te repérer dans des documents de référence — sans prétendre les maîtriser en détail. L'objectif est de savoir où chercher, pas de mémoriser des codes.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de synthèse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travailles dans un foyer d'hébergement. Lors d'une réunion d'équipe, un professionnel dit : 'De toute façon, avec ce public, ils sont tous fous — c'est normal qu'ils se comportent comme ça.'</w:t>
      </w:r>
    </w:p>
    <w:p>
      <w:pPr>
        <w:spacing w:after="6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Rédige en 8 à 12 lignes une réponse argumentée à cette affirmation, en mobilisant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distinction normal/pathologique et ses critères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concept de continuum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notion de retentissement fonctionnel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posture non stigmatisante et centrée sur la personne</w:t>
      </w:r>
    </w:p>
    <w:p>
      <w:pPr>
        <w:spacing w:after="60" w:before="60"/>
      </w:pP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Piste de cadrage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réponse doit éviter deux écueils : la banalisation ('c'est normal pour eux') et la sur-pathologisation ('tout comportement atypique = trouble'). Elle doit pointer la nécessité d'une analyse fonctionnelle, d'une observation rigoureuse et d'une orientation vers les professionnels habilités à poser un diagnostic.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— Application en ESSMS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tant que chef de service, ces repères sont directement utiles pour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Animer un retour d'équipe après un incident comportemental : distinguer 'comportement-problème adaptatif' (réaction à un contexte défavorable) de 'symptôme pathologique' nécessitant une orientation psychiatrique.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Formuler les observations dans le DUI (Imago) : utiliser un vocabulaire descriptif et fonctionnel ('présente une agitation motrice depuis 3 jours avec retrait des repas') plutôt que des étiquettes diagnostiques ('est en crise').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Préparer une ESI (équipe soignante interdisciplinaire) ou une réunion avec le psychiatre référent : structurer les informations selon les critères souffrance / durée / retentissement, ce que les médecins reconnaissent immédiatement.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⚠️ Rappel déontologique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rôle du chef de service et des équipes éducatives est d'OBSERVER et de TRANSMETTRE — pas de diagnostiquer. La rigueur dans la transmission ouvre le bon chemin vers les professionnels habilités.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pour approfondir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mobilisées pour cette leçon :</w:t>
      </w:r>
    </w:p>
    <w:p>
      <w:pPr>
        <w:spacing w:after="2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1. </w:t>
      </w:r>
      <w:hyperlink w:history="1" r:id="rId3n41uqppq5rzcwdnkfbuj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OMS — Nouveau manuel CIM-11 CDDR (mars 2024)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Publication officielle sur les apports de la CIM-11 pour le diagnostic des troubles mentaux.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2. </w:t>
      </w:r>
      <w:hyperlink w:history="1" r:id="rIdn5eoa6jtrcqtnxmb-bw_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Mental disorder (EN)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Synthèse des critères DSM-5 et CIM-11, modèles dimensionnel vs catégoriel, historique.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3. </w:t>
      </w:r>
      <w:hyperlink w:history="1" r:id="rIduecjd_gtsawrobtpnqbh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Cairn.info — Le continuum entre normal et pathologique en psychopathologie (Research in Psychoanalysis, 2018)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Approche psychanalytique et dimensionnelle du continuum normal/pathologique.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4. </w:t>
      </w:r>
      <w:hyperlink w:history="1" r:id="rIdr3sg0na3bjr_xzycf_yog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Cairn.info — Évaluer la souffrance psychique. Quelle place pour la psychopathologie ? (Topique, 2018)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Critères de souffrance et retentissement fonctionnel en pratique.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5. </w:t>
      </w:r>
      <w:hyperlink w:history="1" r:id="rId3kctqcptb5q9qnvwbhltv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OMS — Navigateur CIM-11 en ligne (version 2024-01)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Explorer directement les chapitres de la CIM-11.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6. </w:t>
      </w:r>
      <w:hyperlink w:history="1" r:id="rIdbevoy6wedp6pqguwyoljv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Studocu — UE Psychopathologie de l'adulte (Université de Bordeaux)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Notes de cours structurées sur les critères normal/pathologique.</w:t>
      </w:r>
    </w:p>
    <w:p>
      <w:pPr>
        <w:spacing w:after="20" w:before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inaccessibles (rendu JS / timeout)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⛔ psycom.org — page rendue en JavaScript, non accessible en mode headless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⛔ psychologie.fr — timeout (60s) lors du WebFetch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⛔ brainball.fr/glossaire/dsm-5-tr — page rendue en JavaScript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Bdr>
          <w:bottom w:val="single" w:color="1B3A6B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(n°03)</w:t>
      </w:r>
    </w:p>
    <w:p>
      <w:pPr>
        <w:shd w:fill="F3F4F6" w:val="clear"/>
        <w:spacing w:after="80" w:before="80"/>
        <w:ind w:left="431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Thème annoncé :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Sémiologie psychiatrique — Repérer et nommer les signes cliniques : humeur, affects, pensée formelle, langage, perception, conscience, mémoire, comportement. L'objectif : développer un vocabulaire d'observation rigoureux pour décrire ce que tu vois en situation d'accompagnement.</w:t>
      </w:r>
    </w:p>
    <w:p>
      <w:pPr>
        <w:spacing w:after="160" w:before="16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CA3AF"/>
          <w:sz w:val="18"/>
          <w:szCs w:val="18"/>
        </w:rPr>
        <w:t xml:space="preserve">Parcours Psychopathologie clinique — usage personnel, formation continue — Chef de service ESSMS — Bouches-du-Rhône (13)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fbupbxwdfnrkqcs6obou" Type="http://schemas.openxmlformats.org/officeDocument/2006/relationships/hyperlink" Target="https://icd.who.int/browse/2024-01/mms/en#334423054" TargetMode="External"/><Relationship Id="rId3n41uqppq5rzcwdnkfbuj" Type="http://schemas.openxmlformats.org/officeDocument/2006/relationships/hyperlink" Target="https://www.who.int/fr/news/item/08-03-2024-new-manual-released-to-support-diagnosis-of-mental--behavioural-and-neurodevelopmental-disorders-added-in-icd-11" TargetMode="External"/><Relationship Id="rIdn5eoa6jtrcqtnxmb-bw_p" Type="http://schemas.openxmlformats.org/officeDocument/2006/relationships/hyperlink" Target="https://en.wikipedia.org/wiki/Mental_disorder" TargetMode="External"/><Relationship Id="rIduecjd_gtsawrobtpnqbhk" Type="http://schemas.openxmlformats.org/officeDocument/2006/relationships/hyperlink" Target="https://shs.cairn.info/revue-research-in-psychoanalysis-2018-2-page-154a?lang=fr" TargetMode="External"/><Relationship Id="rIdr3sg0na3bjr_xzycf_yog" Type="http://schemas.openxmlformats.org/officeDocument/2006/relationships/hyperlink" Target="https://shs.cairn.info/revue-topique-2018-3-page-15?lang=fr" TargetMode="External"/><Relationship Id="rId3kctqcptb5q9qnvwbhltv" Type="http://schemas.openxmlformats.org/officeDocument/2006/relationships/hyperlink" Target="https://icd.who.int/browse/2024-01/mms/en" TargetMode="External"/><Relationship Id="rIdbevoy6wedp6pqguwyoljv" Type="http://schemas.openxmlformats.org/officeDocument/2006/relationships/hyperlink" Target="https://www.studocu.com/fr/document/universite-de-bordeaux/psychologie-clinique-et-pathologique/ue2-psychologie-clinique-et-pathologique-psychopathologie-de-ladulte/1773638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2026-06-22T06:08:06.499Z</dcterms:created>
  <dcterms:modified xsi:type="dcterms:W3CDTF">2026-06-22T06:08:06.501Z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