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jc w:val="center"/>
      </w:pPr>
      <w:r>
        <w:rPr>
          <w:rFonts w:ascii="Times New Roman" w:cs="Times New Roman" w:eastAsia="Times New Roman" w:hAnsi="Times New Roman"/>
          <w:b/>
          <w:bCs/>
          <w:color w:val="1B3A6B"/>
          <w:sz w:val="52"/>
          <w:szCs w:val="52"/>
        </w:rPr>
        <w:t xml:space="preserve">Leçon Psychopathologie clinique n°13</w:t>
      </w:r>
    </w:p>
    <w:p>
      <w:pPr>
        <w:pStyle w:val="Heading1"/>
        <w:spacing w:after="200" w:before="200"/>
        <w:jc w:val="center"/>
      </w:pPr>
      <w:r>
        <w:rPr>
          <w:rFonts w:ascii="Times New Roman" w:cs="Times New Roman" w:eastAsia="Times New Roman" w:hAnsi="Times New Roman"/>
          <w:b/>
          <w:bCs/>
          <w:color w:val="1B3A6B"/>
          <w:sz w:val="52"/>
          <w:szCs w:val="52"/>
        </w:rPr>
        <w:t xml:space="preserve">Troubles neurocognitifs et psychopathologie du vieillissement</w:t>
      </w:r>
    </w:p>
    <w:p>
      <w:pPr>
        <w:spacing w:after="60" w:before="60"/>
        <w:ind/>
      </w:pPr>
      <w:r>
        <w:rPr>
          <w:rFonts w:ascii="Times New Roman" w:cs="Times New Roman" w:eastAsia="Times New Roman" w:hAnsi="Times New Roman"/>
          <w:b/>
          <w:bCs/>
          <w:i w:val="false"/>
          <w:iCs w:val="false"/>
          <w:color w:val="1B3A6B"/>
          <w:sz w:val="22"/>
          <w:szCs w:val="22"/>
        </w:rPr>
        <w:t xml:space="preserve">Date : 31 août 2026  |  Leçon 13 / 20</w:t>
      </w:r>
    </w:p>
    <w:p>
      <w:pPr>
        <w:spacing w:after="120" w:before="120"/>
      </w:pPr>
      <w:r>
        <w:rPr>
          <w:rFonts w:ascii="Times New Roman" w:cs="Times New Roman" w:eastAsia="Times New Roman" w:hAnsi="Times New Roman"/>
          <w:color w:val="CCCCCC"/>
          <w:sz w:val="20"/>
          <w:szCs w:val="20"/>
        </w:rPr>
        <w:t xml:space="preserve">────────────────────────────────────────────────────────────</w:t>
      </w:r>
    </w:p>
    <w:p>
      <w:pPr>
        <w:pStyle w:val="Heading2"/>
        <w:spacing w:after="120" w:before="320"/>
      </w:pPr>
      <w:r>
        <w:rPr>
          <w:rFonts w:ascii="Times New Roman" w:cs="Times New Roman" w:eastAsia="Times New Roman" w:hAnsi="Times New Roman"/>
          <w:b/>
          <w:bCs/>
          <w:color w:val="1B3A6B"/>
          <w:sz w:val="30"/>
          <w:szCs w:val="30"/>
        </w:rPr>
        <w:t xml:space="preserve">🎯 Objectif et continuité</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À l'issue de cette leçon, tu seras capable de distinguer vieillissement cérébral normal, troubles neurocognitifs légers (TNC léger) et troubles neurocognitifs majeurs (TNC majeur), d'identifier les principaux sous-types étiologiques, de repérer les manifestations cliniques dans les 6 domaines cognitifs du DSM-5, et de comprendre la distinction critique entre délirium et démence.</w:t>
      </w:r>
    </w:p>
    <w:p>
      <w:pPr>
        <w:spacing w:after="60" w:before="60"/>
        <w:ind/>
      </w:pPr>
      <w:r>
        <w:rPr>
          <w:rFonts w:ascii="Times New Roman" w:cs="Times New Roman" w:eastAsia="Times New Roman" w:hAnsi="Times New Roman"/>
          <w:b w:val="false"/>
          <w:bCs w:val="false"/>
          <w:i/>
          <w:iCs/>
          <w:color w:val="1B3A6B"/>
          <w:sz w:val="22"/>
          <w:szCs w:val="22"/>
        </w:rPr>
        <w:t xml:space="preserve">Continuité avec la leçon 12 (psychotraumatisme, TSPT, trouble dissociatif) : les deux leçons abordent des tableaux cliniques où la mémoire est centrale — mais dans des logiques opposées. Le TSPT implique une mémoire traumatique qui envahit et revit ; les TNC impliquent une mémoire qui s'efface et se fragmente. La comparaison éclaire la psychopathologie de la mémoire dans ses deux pôles extrêmes.</w:t>
      </w:r>
    </w:p>
    <w:p>
      <w:pPr>
        <w:spacing w:after="120" w:before="120"/>
      </w:pPr>
      <w:r>
        <w:rPr>
          <w:rFonts w:ascii="Times New Roman" w:cs="Times New Roman" w:eastAsia="Times New Roman" w:hAnsi="Times New Roman"/>
          <w:color w:val="CCCCCC"/>
          <w:sz w:val="20"/>
          <w:szCs w:val="20"/>
        </w:rPr>
        <w:t xml:space="preserve">────────────────────────────────────────────────────────────</w:t>
      </w:r>
    </w:p>
    <w:p>
      <w:pPr>
        <w:pStyle w:val="Heading2"/>
        <w:spacing w:after="120" w:before="320"/>
      </w:pPr>
      <w:r>
        <w:rPr>
          <w:rFonts w:ascii="Times New Roman" w:cs="Times New Roman" w:eastAsia="Times New Roman" w:hAnsi="Times New Roman"/>
          <w:b/>
          <w:bCs/>
          <w:color w:val="1B3A6B"/>
          <w:sz w:val="30"/>
          <w:szCs w:val="30"/>
        </w:rPr>
        <w:t xml:space="preserve">🔬 Théorie (20 %) — Fondements des troubles neurocognitifs</w:t>
      </w:r>
    </w:p>
    <w:p>
      <w:pPr>
        <w:pStyle w:val="Heading3"/>
        <w:spacing w:after="80" w:before="200"/>
      </w:pPr>
      <w:r>
        <w:rPr>
          <w:rFonts w:ascii="Times New Roman" w:cs="Times New Roman" w:eastAsia="Times New Roman" w:hAnsi="Times New Roman"/>
          <w:b/>
          <w:bCs/>
          <w:color w:val="1F2937"/>
          <w:sz w:val="26"/>
          <w:szCs w:val="26"/>
        </w:rPr>
        <w:t xml:space="preserve">1. Terminologie et évolution des classifications</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Le terme « démence » (DSM-III, CIM-10) a été progressivement remplacé dans le DSM-5 (2013) par le concept de Trouble NeuroCognitif (TNC) pour deux raisons : d'abord, déstigmatiser — « démence » porte une connotation péjorative liée à la folie ; ensuite, affiner le spectre clinique en distinguant un continuum de sévérité.</w:t>
      </w:r>
    </w:p>
    <w:p>
      <w:pPr>
        <w:spacing w:after="60" w:before="60"/>
        <w:ind/>
      </w:pPr>
      <w:r>
        <w:rPr>
          <w:rFonts w:ascii="Times New Roman" w:cs="Times New Roman" w:eastAsia="Times New Roman" w:hAnsi="Times New Roman"/>
          <w:b/>
          <w:bCs/>
          <w:i w:val="false"/>
          <w:iCs w:val="false"/>
          <w:color w:val="1F2937"/>
          <w:sz w:val="22"/>
          <w:szCs w:val="22"/>
        </w:rPr>
        <w:t xml:space="preserve">Le DSM-5 définit trois catégories :</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Délirium (confusion aiguë) : altération soudaine de l'attention et de la conscience, réversible dans la majorité des cas, liée à une cause médicale aiguë (infection, déshydratation, médicaments, sevrage).</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TNC léger (ex-MCI, Mild Cognitive Impairment) : déclin modeste, testé objectivement, mais autonomie préservée — la personne s'adapte avec effort accru.</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TNC majeur (ex-démence) : déclin significatif dans au moins un domaine, avec retentissement sur l'autonomie quotidienne, hors délirium concomitant.</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hd w:fill="EEF2F7" w:color="EEF2F7" w:val="solid"/>
        <w:spacing w:after="100" w:before="100"/>
        <w:ind w:left="360" w:right="360"/>
      </w:pPr>
      <w:r>
        <w:rPr>
          <w:rFonts w:ascii="Times New Roman" w:cs="Times New Roman" w:eastAsia="Times New Roman" w:hAnsi="Times New Roman"/>
          <w:i/>
          <w:iCs/>
          <w:color w:val="1F2937"/>
          <w:sz w:val="22"/>
          <w:szCs w:val="22"/>
        </w:rPr>
        <w:t xml:space="preserve">⚠️ CADRE DÉONTOLOGIQUE : poser un diagnostic de TNC est un acte médical réservé au médecin psychiatre, au neurologue ou au gériatre. En tant que professionnel non médical, ta posture est celle de l'observateur clinique rigoureux : noter, décrire, transmettre, orienter — jamais diagnostiquer.</w:t>
      </w:r>
    </w:p>
    <w:p>
      <w:pPr>
        <w:pStyle w:val="Heading3"/>
        <w:spacing w:after="80" w:before="200"/>
      </w:pPr>
      <w:r>
        <w:rPr>
          <w:rFonts w:ascii="Times New Roman" w:cs="Times New Roman" w:eastAsia="Times New Roman" w:hAnsi="Times New Roman"/>
          <w:b/>
          <w:bCs/>
          <w:color w:val="1F2937"/>
          <w:sz w:val="26"/>
          <w:szCs w:val="26"/>
        </w:rPr>
        <w:t xml:space="preserve">2. Les 6 domaines cognitifs du DSM-5</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Tout TNC est évalué selon l'atteinte de 6 domaines cognitifs. Cette grille est l'outil conceptuel central de la leçon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shd w:fill="1B3A6B" w:color="1B3A6B" w:val="solid"/>
            <w:vAlign w:val="center"/>
          </w:tcPr>
          <w:p>
            <w:pPr>
              <w:jc w:val="center"/>
            </w:pPr>
            <w:r>
              <w:rPr>
                <w:rFonts w:ascii="Times New Roman" w:cs="Times New Roman" w:eastAsia="Times New Roman" w:hAnsi="Times New Roman"/>
                <w:b/>
                <w:bCs/>
                <w:color w:val="FFFFFF"/>
                <w:sz w:val="20"/>
                <w:szCs w:val="20"/>
              </w:rPr>
              <w:t xml:space="preserve">Domaine cognitif</w:t>
            </w:r>
          </w:p>
        </w:tc>
        <w:tc>
          <w:tcPr>
            <w:shd w:fill="1B3A6B" w:color="1B3A6B" w:val="solid"/>
            <w:vAlign w:val="center"/>
          </w:tcPr>
          <w:p>
            <w:pPr>
              <w:jc w:val="center"/>
            </w:pPr>
            <w:r>
              <w:rPr>
                <w:rFonts w:ascii="Times New Roman" w:cs="Times New Roman" w:eastAsia="Times New Roman" w:hAnsi="Times New Roman"/>
                <w:b/>
                <w:bCs/>
                <w:color w:val="FFFFFF"/>
                <w:sz w:val="20"/>
                <w:szCs w:val="20"/>
              </w:rPr>
              <w:t xml:space="preserve">Description clinique</w:t>
            </w:r>
          </w:p>
        </w:tc>
        <w:tc>
          <w:tcPr>
            <w:shd w:fill="1B3A6B" w:color="1B3A6B" w:val="solid"/>
            <w:vAlign w:val="center"/>
          </w:tcPr>
          <w:p>
            <w:pPr>
              <w:jc w:val="center"/>
            </w:pPr>
            <w:r>
              <w:rPr>
                <w:rFonts w:ascii="Times New Roman" w:cs="Times New Roman" w:eastAsia="Times New Roman" w:hAnsi="Times New Roman"/>
                <w:b/>
                <w:bCs/>
                <w:color w:val="FFFFFF"/>
                <w:sz w:val="20"/>
                <w:szCs w:val="20"/>
              </w:rPr>
              <w:t xml:space="preserve">Exemples observables en quotidien</w:t>
            </w:r>
          </w:p>
        </w:tc>
      </w:tr>
      <w:tr>
        <w:tc>
          <w:tcPr>
            <w:shd w:fill="FFFFFF" w:color="FFFFFF" w:val="solid"/>
          </w:tcPr>
          <w:p>
            <w:r>
              <w:rPr>
                <w:rFonts w:ascii="Times New Roman" w:cs="Times New Roman" w:eastAsia="Times New Roman" w:hAnsi="Times New Roman"/>
                <w:color w:val="1F2937"/>
                <w:sz w:val="20"/>
                <w:szCs w:val="20"/>
              </w:rPr>
              <w:t xml:space="preserve">Mémoire et apprentissage</w:t>
            </w:r>
          </w:p>
        </w:tc>
        <w:tc>
          <w:tcPr>
            <w:shd w:fill="FFFFFF" w:color="FFFFFF" w:val="solid"/>
          </w:tcPr>
          <w:p>
            <w:r>
              <w:rPr>
                <w:rFonts w:ascii="Times New Roman" w:cs="Times New Roman" w:eastAsia="Times New Roman" w:hAnsi="Times New Roman"/>
                <w:color w:val="1F2937"/>
                <w:sz w:val="20"/>
                <w:szCs w:val="20"/>
              </w:rPr>
              <w:t xml:space="preserve">Encodage, stockage, rappel d'informations</w:t>
            </w:r>
          </w:p>
        </w:tc>
        <w:tc>
          <w:tcPr>
            <w:shd w:fill="FFFFFF" w:color="FFFFFF" w:val="solid"/>
          </w:tcPr>
          <w:p>
            <w:r>
              <w:rPr>
                <w:rFonts w:ascii="Times New Roman" w:cs="Times New Roman" w:eastAsia="Times New Roman" w:hAnsi="Times New Roman"/>
                <w:color w:val="1F2937"/>
                <w:sz w:val="20"/>
                <w:szCs w:val="20"/>
              </w:rPr>
              <w:t xml:space="preserve">Répète les mêmes questions, oublie des événements récents, perd ses affaires</w:t>
            </w:r>
          </w:p>
        </w:tc>
      </w:tr>
      <w:tr>
        <w:tc>
          <w:tcPr>
            <w:shd w:fill="EEF2F7" w:color="EEF2F7" w:val="solid"/>
          </w:tcPr>
          <w:p>
            <w:r>
              <w:rPr>
                <w:rFonts w:ascii="Times New Roman" w:cs="Times New Roman" w:eastAsia="Times New Roman" w:hAnsi="Times New Roman"/>
                <w:color w:val="1F2937"/>
                <w:sz w:val="20"/>
                <w:szCs w:val="20"/>
              </w:rPr>
              <w:t xml:space="preserve">Fonctions exécutives</w:t>
            </w:r>
          </w:p>
        </w:tc>
        <w:tc>
          <w:tcPr>
            <w:shd w:fill="EEF2F7" w:color="EEF2F7" w:val="solid"/>
          </w:tcPr>
          <w:p>
            <w:r>
              <w:rPr>
                <w:rFonts w:ascii="Times New Roman" w:cs="Times New Roman" w:eastAsia="Times New Roman" w:hAnsi="Times New Roman"/>
                <w:color w:val="1F2937"/>
                <w:sz w:val="20"/>
                <w:szCs w:val="20"/>
              </w:rPr>
              <w:t xml:space="preserve">Planification, initiation, inhibition, flexibilité</w:t>
            </w:r>
          </w:p>
        </w:tc>
        <w:tc>
          <w:tcPr>
            <w:shd w:fill="EEF2F7" w:color="EEF2F7" w:val="solid"/>
          </w:tcPr>
          <w:p>
            <w:r>
              <w:rPr>
                <w:rFonts w:ascii="Times New Roman" w:cs="Times New Roman" w:eastAsia="Times New Roman" w:hAnsi="Times New Roman"/>
                <w:color w:val="1F2937"/>
                <w:sz w:val="20"/>
                <w:szCs w:val="20"/>
              </w:rPr>
              <w:t xml:space="preserve">Ne peut plus gérer son budget, se perd dans une tâche multi-étapes</w:t>
            </w:r>
          </w:p>
        </w:tc>
      </w:tr>
      <w:tr>
        <w:tc>
          <w:tcPr>
            <w:shd w:fill="FFFFFF" w:color="FFFFFF" w:val="solid"/>
          </w:tcPr>
          <w:p>
            <w:r>
              <w:rPr>
                <w:rFonts w:ascii="Times New Roman" w:cs="Times New Roman" w:eastAsia="Times New Roman" w:hAnsi="Times New Roman"/>
                <w:color w:val="1F2937"/>
                <w:sz w:val="20"/>
                <w:szCs w:val="20"/>
              </w:rPr>
              <w:t xml:space="preserve">Attention complexe</w:t>
            </w:r>
          </w:p>
        </w:tc>
        <w:tc>
          <w:tcPr>
            <w:shd w:fill="FFFFFF" w:color="FFFFFF" w:val="solid"/>
          </w:tcPr>
          <w:p>
            <w:r>
              <w:rPr>
                <w:rFonts w:ascii="Times New Roman" w:cs="Times New Roman" w:eastAsia="Times New Roman" w:hAnsi="Times New Roman"/>
                <w:color w:val="1F2937"/>
                <w:sz w:val="20"/>
                <w:szCs w:val="20"/>
              </w:rPr>
              <w:t xml:space="preserve">Attention soutenue, divisée, sélective, vitesse de traitement</w:t>
            </w:r>
          </w:p>
        </w:tc>
        <w:tc>
          <w:tcPr>
            <w:shd w:fill="FFFFFF" w:color="FFFFFF" w:val="solid"/>
          </w:tcPr>
          <w:p>
            <w:r>
              <w:rPr>
                <w:rFonts w:ascii="Times New Roman" w:cs="Times New Roman" w:eastAsia="Times New Roman" w:hAnsi="Times New Roman"/>
                <w:color w:val="1F2937"/>
                <w:sz w:val="20"/>
                <w:szCs w:val="20"/>
              </w:rPr>
              <w:t xml:space="preserve">Se laisse distraire, ne suit plus une conversation, lenteur</w:t>
            </w:r>
          </w:p>
        </w:tc>
      </w:tr>
      <w:tr>
        <w:tc>
          <w:tcPr>
            <w:shd w:fill="EEF2F7" w:color="EEF2F7" w:val="solid"/>
          </w:tcPr>
          <w:p>
            <w:r>
              <w:rPr>
                <w:rFonts w:ascii="Times New Roman" w:cs="Times New Roman" w:eastAsia="Times New Roman" w:hAnsi="Times New Roman"/>
                <w:color w:val="1F2937"/>
                <w:sz w:val="20"/>
                <w:szCs w:val="20"/>
              </w:rPr>
              <w:t xml:space="preserve">Langage</w:t>
            </w:r>
          </w:p>
        </w:tc>
        <w:tc>
          <w:tcPr>
            <w:shd w:fill="EEF2F7" w:color="EEF2F7" w:val="solid"/>
          </w:tcPr>
          <w:p>
            <w:r>
              <w:rPr>
                <w:rFonts w:ascii="Times New Roman" w:cs="Times New Roman" w:eastAsia="Times New Roman" w:hAnsi="Times New Roman"/>
                <w:color w:val="1F2937"/>
                <w:sz w:val="20"/>
                <w:szCs w:val="20"/>
              </w:rPr>
              <w:t xml:space="preserve">Fluence verbale, dénomination, compréhension, lecture/écriture</w:t>
            </w:r>
          </w:p>
        </w:tc>
        <w:tc>
          <w:tcPr>
            <w:shd w:fill="EEF2F7" w:color="EEF2F7" w:val="solid"/>
          </w:tcPr>
          <w:p>
            <w:r>
              <w:rPr>
                <w:rFonts w:ascii="Times New Roman" w:cs="Times New Roman" w:eastAsia="Times New Roman" w:hAnsi="Times New Roman"/>
                <w:color w:val="1F2937"/>
                <w:sz w:val="20"/>
                <w:szCs w:val="20"/>
              </w:rPr>
              <w:t xml:space="preserve">Cherche ses mots (manque du mot), phrases incomplètes, paraphasies</w:t>
            </w:r>
          </w:p>
        </w:tc>
      </w:tr>
      <w:tr>
        <w:tc>
          <w:tcPr>
            <w:shd w:fill="FFFFFF" w:color="FFFFFF" w:val="solid"/>
          </w:tcPr>
          <w:p>
            <w:r>
              <w:rPr>
                <w:rFonts w:ascii="Times New Roman" w:cs="Times New Roman" w:eastAsia="Times New Roman" w:hAnsi="Times New Roman"/>
                <w:color w:val="1F2937"/>
                <w:sz w:val="20"/>
                <w:szCs w:val="20"/>
              </w:rPr>
              <w:t xml:space="preserve">Cognition perceptivo-motrice</w:t>
            </w:r>
          </w:p>
        </w:tc>
        <w:tc>
          <w:tcPr>
            <w:shd w:fill="FFFFFF" w:color="FFFFFF" w:val="solid"/>
          </w:tcPr>
          <w:p>
            <w:r>
              <w:rPr>
                <w:rFonts w:ascii="Times New Roman" w:cs="Times New Roman" w:eastAsia="Times New Roman" w:hAnsi="Times New Roman"/>
                <w:color w:val="1F2937"/>
                <w:sz w:val="20"/>
                <w:szCs w:val="20"/>
              </w:rPr>
              <w:t xml:space="preserve">Praxies constructives, perception visuo-spatiale, gnosies</w:t>
            </w:r>
          </w:p>
        </w:tc>
        <w:tc>
          <w:tcPr>
            <w:shd w:fill="FFFFFF" w:color="FFFFFF" w:val="solid"/>
          </w:tcPr>
          <w:p>
            <w:r>
              <w:rPr>
                <w:rFonts w:ascii="Times New Roman" w:cs="Times New Roman" w:eastAsia="Times New Roman" w:hAnsi="Times New Roman"/>
                <w:color w:val="1F2937"/>
                <w:sz w:val="20"/>
                <w:szCs w:val="20"/>
              </w:rPr>
              <w:t xml:space="preserve">Se perd dans un lieu familier, ne reconnaît plus les visages (prosopagnosie)</w:t>
            </w:r>
          </w:p>
        </w:tc>
      </w:tr>
      <w:tr>
        <w:tc>
          <w:tcPr>
            <w:shd w:fill="EEF2F7" w:color="EEF2F7" w:val="solid"/>
          </w:tcPr>
          <w:p>
            <w:r>
              <w:rPr>
                <w:rFonts w:ascii="Times New Roman" w:cs="Times New Roman" w:eastAsia="Times New Roman" w:hAnsi="Times New Roman"/>
                <w:color w:val="1F2937"/>
                <w:sz w:val="20"/>
                <w:szCs w:val="20"/>
              </w:rPr>
              <w:t xml:space="preserve">Cognition sociale</w:t>
            </w:r>
          </w:p>
        </w:tc>
        <w:tc>
          <w:tcPr>
            <w:shd w:fill="EEF2F7" w:color="EEF2F7" w:val="solid"/>
          </w:tcPr>
          <w:p>
            <w:r>
              <w:rPr>
                <w:rFonts w:ascii="Times New Roman" w:cs="Times New Roman" w:eastAsia="Times New Roman" w:hAnsi="Times New Roman"/>
                <w:color w:val="1F2937"/>
                <w:sz w:val="20"/>
                <w:szCs w:val="20"/>
              </w:rPr>
              <w:t xml:space="preserve">Reconnaissance des émotions, théorie de l'esprit, comportement social</w:t>
            </w:r>
          </w:p>
        </w:tc>
        <w:tc>
          <w:tcPr>
            <w:shd w:fill="EEF2F7" w:color="EEF2F7" w:val="solid"/>
          </w:tcPr>
          <w:p>
            <w:r>
              <w:rPr>
                <w:rFonts w:ascii="Times New Roman" w:cs="Times New Roman" w:eastAsia="Times New Roman" w:hAnsi="Times New Roman"/>
                <w:color w:val="1F2937"/>
                <w:sz w:val="20"/>
                <w:szCs w:val="20"/>
              </w:rPr>
              <w:t xml:space="preserve">Désinhibition, comportements inappropriés, perte d'empathie</w:t>
            </w:r>
          </w:p>
        </w:tc>
      </w:tr>
    </w:tbl>
    <w:p>
      <w:pPr>
        <w:pStyle w:val="Heading3"/>
        <w:spacing w:after="80" w:before="200"/>
      </w:pPr>
      <w:r>
        <w:rPr>
          <w:rFonts w:ascii="Times New Roman" w:cs="Times New Roman" w:eastAsia="Times New Roman" w:hAnsi="Times New Roman"/>
          <w:b/>
          <w:bCs/>
          <w:color w:val="1F2937"/>
          <w:sz w:val="26"/>
          <w:szCs w:val="26"/>
        </w:rPr>
        <w:t xml:space="preserve">3. Les principaux sous-types étiologiques</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Le TNC majeur n'est pas une maladie unique mais un syndrome aux multiples causes. La distinction étiologique oriente la prise en charge :</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Maladie d'Alzheimer (60-70 % des cas) : atteinte de mémoire épisodique en premier, évolution progressive et irréversible, dépôts amyloïdes et dégénérescence neurofibrillaire.</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Démence vasculaire (2e rang) : début brutal ou « en marches d'escalier », signes neurologiques focaux, troubles exécutifs et comportementaux précoces, lié à des lésions cérébrales vasculaires ischémiques ou hémorragiques.</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Démence à corps de Lewy : fluctuations cognitives marquées, hallucinations visuelles précoces et détaillées, syndrome parkinsonien, trouble du comportement en sommeil REM.</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Dégénérescence frontotemporale (DFT) : désinhibition comportementale et/ou troubles du langage précoces, atteinte de la mémoire tardive — souvent confondue avec des troubles psychiatriques ou relationnels.</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 </w:t>
      </w:r>
      <w:r>
        <w:rPr>
          <w:rFonts w:ascii="Times New Roman" w:cs="Times New Roman" w:eastAsia="Times New Roman" w:hAnsi="Times New Roman"/>
          <w:color w:val="1F2937"/>
          <w:sz w:val="22"/>
          <w:szCs w:val="22"/>
        </w:rPr>
        <w:t xml:space="preserve">Formes mixtes Alzheimer + vasculaire : fréquentes en pratique clinique, les deux composantes coexistent et s'intriquent.</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hd w:fill="EEF2F7" w:color="EEF2F7" w:val="solid"/>
        <w:spacing w:after="100" w:before="100"/>
        <w:ind w:left="360" w:right="360"/>
      </w:pPr>
      <w:r>
        <w:rPr>
          <w:rFonts w:ascii="Times New Roman" w:cs="Times New Roman" w:eastAsia="Times New Roman" w:hAnsi="Times New Roman"/>
          <w:i/>
          <w:iCs/>
          <w:color w:val="1F2937"/>
          <w:sz w:val="22"/>
          <w:szCs w:val="22"/>
        </w:rPr>
        <w:t xml:space="preserve">Distinction critique : DÉLIRIUM ≠ DÉMENCE. Le délirium est aigu (heures à jours), fluctuant, avec altération de la conscience et désorientation marquée, généralement réversible si la cause est traitée. La démence est chronique, progressive, la conscience est intacte en début d'évolution. ATTENTION : 49 % des patients hospitalisés atteints de TNC majeur présentent un épisode de délirium surajouté — cette superposition est une erreur diagnostique fréquente (source : Merck Manual).</w:t>
      </w:r>
    </w:p>
    <w:p>
      <w:pPr>
        <w:pStyle w:val="Heading3"/>
        <w:spacing w:after="80" w:before="200"/>
      </w:pPr>
      <w:r>
        <w:rPr>
          <w:rFonts w:ascii="Times New Roman" w:cs="Times New Roman" w:eastAsia="Times New Roman" w:hAnsi="Times New Roman"/>
          <w:b/>
          <w:bCs/>
          <w:color w:val="1F2937"/>
          <w:sz w:val="26"/>
          <w:szCs w:val="26"/>
        </w:rPr>
        <w:t xml:space="preserve">4. CIM-11 vs DSM-5 : points de convergence et nuances</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La CIM-11 (OMS, en vigueur) rapproche sa classification du DSM-5 en intégrant la distinction TNC léger / TNC majeur et les 6 domaines cognitifs. La CIM-10 (antérieure) utilisait la catégorie F06.7 « trouble cognitif léger » avec un accent fort sur l'étiologie organique identifiable. La convergence progressive des deux systèmes facilite la communication internationale et la recherche.</w:t>
      </w:r>
    </w:p>
    <w:p>
      <w:pPr>
        <w:spacing w:after="120" w:before="120"/>
      </w:pPr>
      <w:r>
        <w:rPr>
          <w:rFonts w:ascii="Times New Roman" w:cs="Times New Roman" w:eastAsia="Times New Roman" w:hAnsi="Times New Roman"/>
          <w:color w:val="CCCCCC"/>
          <w:sz w:val="20"/>
          <w:szCs w:val="20"/>
        </w:rPr>
        <w:t xml:space="preserve">────────────────────────────────────────────────────────────</w:t>
      </w:r>
    </w:p>
    <w:p>
      <w:pPr>
        <w:pStyle w:val="Heading2"/>
        <w:spacing w:after="120" w:before="320"/>
      </w:pPr>
      <w:r>
        <w:rPr>
          <w:rFonts w:ascii="Times New Roman" w:cs="Times New Roman" w:eastAsia="Times New Roman" w:hAnsi="Times New Roman"/>
          <w:b/>
          <w:bCs/>
          <w:color w:val="1B3A6B"/>
          <w:sz w:val="30"/>
          <w:szCs w:val="30"/>
        </w:rPr>
        <w:t xml:space="preserve">🛠️ Pratique (80 %) — Exercices d'apprentissage actif</w:t>
      </w:r>
    </w:p>
    <w:p>
      <w:pPr>
        <w:pStyle w:val="Heading3"/>
        <w:spacing w:after="80" w:before="200"/>
      </w:pPr>
      <w:r>
        <w:rPr>
          <w:rFonts w:ascii="Times New Roman" w:cs="Times New Roman" w:eastAsia="Times New Roman" w:hAnsi="Times New Roman"/>
          <w:b/>
          <w:bCs/>
          <w:color w:val="1F2937"/>
          <w:sz w:val="26"/>
          <w:szCs w:val="26"/>
        </w:rPr>
        <w:t xml:space="preserve">Exercice 1 — Identifier les domaines cognitifs atteints</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Lis les 6 vignettes ci-dessous. Pour chacune, identifie le(s) domaine(s) cognitif(s) atteints selon la grille DSM-5 des 6 domaines, et indique si le tableau évoque plutôt un TNC léger, un TNC majeur ou un délirium. Justifie en une phrase.</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Vignette A :</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Mme V., 74 ans, répète 3 fois la même question en 10 minutes. Elle sait encore qu'elle est chez elle, gère son carnet d'adresses, mais oublie systématiquement les rendez-vous récents si elle ne les note pas immédiatement.</w:t>
      </w:r>
    </w:p>
    <w:p>
      <w:pPr>
        <w:spacing w:after="60" w:before="60"/>
        <w:ind w:left="360"/>
      </w:pPr>
      <w:r>
        <w:rPr>
          <w:rFonts w:ascii="Times New Roman" w:cs="Times New Roman" w:eastAsia="Times New Roman" w:hAnsi="Times New Roman"/>
          <w:b w:val="false"/>
          <w:bCs w:val="false"/>
          <w:i w:val="false"/>
          <w:iCs w:val="false"/>
          <w:color w:val="888888"/>
          <w:sz w:val="22"/>
          <w:szCs w:val="22"/>
        </w:rPr>
        <w:t xml:space="preserve">Ta réponse : ___________________________________________</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Vignette B :</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M. R., 81 ans, est hospitalisé pour une infection urinaire. Depuis hier soir, il est agité, reconnaît difficilement sa fille, dit voir des « hommes dans la chambre » et son état fluctue d'une heure à l'autre.</w:t>
      </w:r>
    </w:p>
    <w:p>
      <w:pPr>
        <w:spacing w:after="60" w:before="60"/>
        <w:ind w:left="360"/>
      </w:pPr>
      <w:r>
        <w:rPr>
          <w:rFonts w:ascii="Times New Roman" w:cs="Times New Roman" w:eastAsia="Times New Roman" w:hAnsi="Times New Roman"/>
          <w:b w:val="false"/>
          <w:bCs w:val="false"/>
          <w:i w:val="false"/>
          <w:iCs w:val="false"/>
          <w:color w:val="888888"/>
          <w:sz w:val="22"/>
          <w:szCs w:val="22"/>
        </w:rPr>
        <w:t xml:space="preserve">Ta réponse : ___________________________________________</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Vignette C :</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Mme S., 68 ans, n'a plus de problème de mémoire notable, mais son mari signale qu'elle a fait 3 accidents de voiture ce trimestre, ne reconnaît plus son chemin habituel vers le marché et a du mal à s'orienter dans les espaces.</w:t>
      </w:r>
    </w:p>
    <w:p>
      <w:pPr>
        <w:spacing w:after="60" w:before="60"/>
        <w:ind w:left="360"/>
      </w:pPr>
      <w:r>
        <w:rPr>
          <w:rFonts w:ascii="Times New Roman" w:cs="Times New Roman" w:eastAsia="Times New Roman" w:hAnsi="Times New Roman"/>
          <w:b w:val="false"/>
          <w:bCs w:val="false"/>
          <w:i w:val="false"/>
          <w:iCs w:val="false"/>
          <w:color w:val="888888"/>
          <w:sz w:val="22"/>
          <w:szCs w:val="22"/>
        </w:rPr>
        <w:t xml:space="preserve">Ta réponse : ___________________________________________</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Vignette D :</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M. L., 77 ans, gère encore son agenda mais a besoin d'aide pour préparer son repas — il commence, oublie la séquence, laisse le gaz allumé. Sa femme note aussi qu'il a du mal à gérer ses médicaments pourtant simples.</w:t>
      </w:r>
    </w:p>
    <w:p>
      <w:pPr>
        <w:spacing w:after="60" w:before="60"/>
        <w:ind w:left="360"/>
      </w:pPr>
      <w:r>
        <w:rPr>
          <w:rFonts w:ascii="Times New Roman" w:cs="Times New Roman" w:eastAsia="Times New Roman" w:hAnsi="Times New Roman"/>
          <w:b w:val="false"/>
          <w:bCs w:val="false"/>
          <w:i w:val="false"/>
          <w:iCs w:val="false"/>
          <w:color w:val="888888"/>
          <w:sz w:val="22"/>
          <w:szCs w:val="22"/>
        </w:rPr>
        <w:t xml:space="preserve">Ta réponse : ___________________________________________</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Vignette E :</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Mme A., 72 ans, était directrice commerciale. Depuis 2 ans, elle fait des blagues inappropriées en public, a perdu ses filtres sociaux, dépense sans compter. Sa mémoire des faits récents est relativement préservée.</w:t>
      </w:r>
    </w:p>
    <w:p>
      <w:pPr>
        <w:spacing w:after="60" w:before="60"/>
        <w:ind w:left="360"/>
      </w:pPr>
      <w:r>
        <w:rPr>
          <w:rFonts w:ascii="Times New Roman" w:cs="Times New Roman" w:eastAsia="Times New Roman" w:hAnsi="Times New Roman"/>
          <w:b w:val="false"/>
          <w:bCs w:val="false"/>
          <w:i w:val="false"/>
          <w:iCs w:val="false"/>
          <w:color w:val="888888"/>
          <w:sz w:val="22"/>
          <w:szCs w:val="22"/>
        </w:rPr>
        <w:t xml:space="preserve">Ta réponse : ___________________________________________</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Vignette F :</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M. C., 83 ans, hallucine des personnages détaillés chaque soir, a des chutes fréquentes, et ses capacités cognitives varient énormément d'un jour à l'autre — certains matins il est parfaitement lucide, certains après-midis totalement confus.</w:t>
      </w:r>
    </w:p>
    <w:p>
      <w:pPr>
        <w:spacing w:after="60" w:before="60"/>
        <w:ind w:left="360"/>
      </w:pPr>
      <w:r>
        <w:rPr>
          <w:rFonts w:ascii="Times New Roman" w:cs="Times New Roman" w:eastAsia="Times New Roman" w:hAnsi="Times New Roman"/>
          <w:b w:val="false"/>
          <w:bCs w:val="false"/>
          <w:i w:val="false"/>
          <w:iCs w:val="false"/>
          <w:color w:val="888888"/>
          <w:sz w:val="22"/>
          <w:szCs w:val="22"/>
        </w:rPr>
        <w:t xml:space="preserve">Ta réponse : ___________________________________________</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 Corrigé — Exercice 1</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Vignette A : domaine Mémoire/apprentissage atteint. Autonomie préservée avec compensation (carnet). → TNC léger probable.</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Vignette B : fluctuation brutale de la conscience, hallucinations visuelles, désorientation temporelle, dans un contexte infectieux aigu. → Délirium (confusion aiguë). À distinguer d'un TNC préexistant aggravé — les deux peuvent coexister.</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Vignette C : accidents de voiture répétés, perte d'orientation spatiale dans des lieux familiers, difficulté à s'orienter dans l'espace. → Domaine Cognition perceptivo-motrice (visuo-spatiale, praxies) atteint. Mémoire intacte → TNC à dominante visuospatiale. Deux pistes cohérentes : l'ATROPHIE CORTICALE POSTÉRIEURE — la variante visuelle de la maladie d'Alzheimer, qui débute par les fonctions visuo-spatiales et épargne longtemps la mémoire — et la démence à corps de Lewy. ⚠️ Ne PAS évoquer une DFT ici : la section 3 la définit par la désinhibition comportementale et les troubles du langage, avec une atteinte TARDIVE de la mémoire ; les capacités visuo-spatiales y sont au contraire relativement préservées, ce qui en fait un argument DIFFÉRENTIEL et non un argument en faveur.</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Vignette D : la mémoire est atteinte (oubli de séquences) ET les fonctions exécutives (planification, initiation, séquençage d'une tâche multi-étapes). Retentissement sur les activités quotidiennes avec nécessité d'aide. → TNC majeur (léger à modéré selon sévérité).</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Vignette E : désinhibition sociale, dépenses impulsives, perte des filtres comportementaux, mémoire préservée. → Domaine Cognition sociale et Fonctions exécutives (inhibition altérée). Profil évocateur d'une Dégénérescence Frontotemporale (variant comportemental).</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Vignette F : hallucinations visuelles détaillées le soir, chutes (syndrome parkinsonien), fluctuations cognitives importantes jour/jour. → Profil très évocateur de Démence à corps de Lewy. Les domaines atteints, en s'en tenant à la grille des six domaines : ATTENTION COMPLEXE (fluctuations marquées d'un jour à l'autre) et COGNITION PERCEPTIVO-MOTRICE — c'est à ce domaine perceptif que se rattachent les hallucinations visuelles, PAS à la cognition sociale, qui désigne la reconnaissance des émotions, la théorie de l'esprit et le comportement social. Les chutes, elles, relèvent du syndrome parkinsonien associé : c'est un signe moteur, pas un domaine cognitif. → TNC majeur.</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hd w:fill="EEF2F7" w:color="EEF2F7" w:val="solid"/>
        <w:spacing w:after="100" w:before="100"/>
        <w:ind w:left="360" w:right="360"/>
      </w:pPr>
      <w:r>
        <w:rPr>
          <w:rFonts w:ascii="Times New Roman" w:cs="Times New Roman" w:eastAsia="Times New Roman" w:hAnsi="Times New Roman"/>
          <w:i/>
          <w:iCs/>
          <w:color w:val="1F2937"/>
          <w:sz w:val="22"/>
          <w:szCs w:val="22"/>
        </w:rPr>
        <w:t xml:space="preserve">🔍 Note clinique : ces vignettes illustrent la diversité des sous-types et l'importance de ne pas réduire les TNC à la seule mémoire. En pratique en ESSMS, observer et décrire précisément le domaine atteint permet d'orienter vers le bon professionnel (neurologue, gériatre, psychiatre).</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Exercice 2 — Délirium ou démence ? Tableau de distinction</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À partir de tes connaissances et de la leçon, complète ce tableau comparatif. Pour chaque dimension, indique la caractéristique du délirium, puis celle du TNC majeur. La correction suit immédiatement.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shd w:fill="1B3A6B" w:color="1B3A6B" w:val="solid"/>
            <w:vAlign w:val="center"/>
          </w:tcPr>
          <w:p>
            <w:pPr>
              <w:jc w:val="center"/>
            </w:pPr>
            <w:r>
              <w:rPr>
                <w:rFonts w:ascii="Times New Roman" w:cs="Times New Roman" w:eastAsia="Times New Roman" w:hAnsi="Times New Roman"/>
                <w:b/>
                <w:bCs/>
                <w:color w:val="FFFFFF"/>
                <w:sz w:val="20"/>
                <w:szCs w:val="20"/>
              </w:rPr>
              <w:t xml:space="preserve">Dimension</w:t>
            </w:r>
          </w:p>
        </w:tc>
        <w:tc>
          <w:tcPr>
            <w:shd w:fill="1B3A6B" w:color="1B3A6B" w:val="solid"/>
            <w:vAlign w:val="center"/>
          </w:tcPr>
          <w:p>
            <w:pPr>
              <w:jc w:val="center"/>
            </w:pPr>
            <w:r>
              <w:rPr>
                <w:rFonts w:ascii="Times New Roman" w:cs="Times New Roman" w:eastAsia="Times New Roman" w:hAnsi="Times New Roman"/>
                <w:b/>
                <w:bCs/>
                <w:color w:val="FFFFFF"/>
                <w:sz w:val="20"/>
                <w:szCs w:val="20"/>
              </w:rPr>
              <w:t xml:space="preserve">Délirium</w:t>
            </w:r>
          </w:p>
        </w:tc>
        <w:tc>
          <w:tcPr>
            <w:shd w:fill="1B3A6B" w:color="1B3A6B" w:val="solid"/>
            <w:vAlign w:val="center"/>
          </w:tcPr>
          <w:p>
            <w:pPr>
              <w:jc w:val="center"/>
            </w:pPr>
            <w:r>
              <w:rPr>
                <w:rFonts w:ascii="Times New Roman" w:cs="Times New Roman" w:eastAsia="Times New Roman" w:hAnsi="Times New Roman"/>
                <w:b/>
                <w:bCs/>
                <w:color w:val="FFFFFF"/>
                <w:sz w:val="20"/>
                <w:szCs w:val="20"/>
              </w:rPr>
              <w:t xml:space="preserve">TNC majeur</w:t>
            </w:r>
          </w:p>
        </w:tc>
      </w:tr>
      <w:tr>
        <w:tc>
          <w:tcPr>
            <w:shd w:fill="FFFFFF" w:color="FFFFFF" w:val="solid"/>
          </w:tcPr>
          <w:p>
            <w:r>
              <w:rPr>
                <w:rFonts w:ascii="Times New Roman" w:cs="Times New Roman" w:eastAsia="Times New Roman" w:hAnsi="Times New Roman"/>
                <w:color w:val="1F2937"/>
                <w:sz w:val="20"/>
                <w:szCs w:val="20"/>
              </w:rPr>
              <w:t xml:space="preserve">Début</w:t>
            </w:r>
          </w:p>
        </w:tc>
        <w:tc>
          <w:tcPr>
            <w:shd w:fill="FFFFFF" w:color="FFFFFF" w:val="solid"/>
          </w:tcPr>
          <w:p>
            <w:r>
              <w:rPr>
                <w:rFonts w:ascii="Times New Roman" w:cs="Times New Roman" w:eastAsia="Times New Roman" w:hAnsi="Times New Roman"/>
                <w:color w:val="1F2937"/>
                <w:sz w:val="20"/>
                <w:szCs w:val="20"/>
              </w:rPr>
              <w:t xml:space="preserve">Soudain (heures / jours) — point de départ identifiable</w:t>
            </w:r>
          </w:p>
        </w:tc>
        <w:tc>
          <w:tcPr>
            <w:shd w:fill="FFFFFF" w:color="FFFFFF" w:val="solid"/>
          </w:tcPr>
          <w:p>
            <w:r>
              <w:rPr>
                <w:rFonts w:ascii="Times New Roman" w:cs="Times New Roman" w:eastAsia="Times New Roman" w:hAnsi="Times New Roman"/>
                <w:color w:val="1F2937"/>
                <w:sz w:val="20"/>
                <w:szCs w:val="20"/>
              </w:rPr>
              <w:t xml:space="preserve">Progressif, insidieux — début incertain</w:t>
            </w:r>
          </w:p>
        </w:tc>
      </w:tr>
      <w:tr>
        <w:tc>
          <w:tcPr>
            <w:shd w:fill="EEF2F7" w:color="EEF2F7" w:val="solid"/>
          </w:tcPr>
          <w:p>
            <w:r>
              <w:rPr>
                <w:rFonts w:ascii="Times New Roman" w:cs="Times New Roman" w:eastAsia="Times New Roman" w:hAnsi="Times New Roman"/>
                <w:color w:val="1F2937"/>
                <w:sz w:val="20"/>
                <w:szCs w:val="20"/>
              </w:rPr>
              <w:t xml:space="preserve">Durée</w:t>
            </w:r>
          </w:p>
        </w:tc>
        <w:tc>
          <w:tcPr>
            <w:shd w:fill="EEF2F7" w:color="EEF2F7" w:val="solid"/>
          </w:tcPr>
          <w:p>
            <w:r>
              <w:rPr>
                <w:rFonts w:ascii="Times New Roman" w:cs="Times New Roman" w:eastAsia="Times New Roman" w:hAnsi="Times New Roman"/>
                <w:color w:val="1F2937"/>
                <w:sz w:val="20"/>
                <w:szCs w:val="20"/>
              </w:rPr>
              <w:t xml:space="preserve">Jours à semaines (réversible si cause traitée)</w:t>
            </w:r>
          </w:p>
        </w:tc>
        <w:tc>
          <w:tcPr>
            <w:shd w:fill="EEF2F7" w:color="EEF2F7" w:val="solid"/>
          </w:tcPr>
          <w:p>
            <w:r>
              <w:rPr>
                <w:rFonts w:ascii="Times New Roman" w:cs="Times New Roman" w:eastAsia="Times New Roman" w:hAnsi="Times New Roman"/>
                <w:color w:val="1F2937"/>
                <w:sz w:val="20"/>
                <w:szCs w:val="20"/>
              </w:rPr>
              <w:t xml:space="preserve">Permanent, évolution sur des mois/années</w:t>
            </w:r>
          </w:p>
        </w:tc>
      </w:tr>
      <w:tr>
        <w:tc>
          <w:tcPr>
            <w:shd w:fill="FFFFFF" w:color="FFFFFF" w:val="solid"/>
          </w:tcPr>
          <w:p>
            <w:r>
              <w:rPr>
                <w:rFonts w:ascii="Times New Roman" w:cs="Times New Roman" w:eastAsia="Times New Roman" w:hAnsi="Times New Roman"/>
                <w:color w:val="1F2937"/>
                <w:sz w:val="20"/>
                <w:szCs w:val="20"/>
              </w:rPr>
              <w:t xml:space="preserve">Conscience</w:t>
            </w:r>
          </w:p>
        </w:tc>
        <w:tc>
          <w:tcPr>
            <w:shd w:fill="FFFFFF" w:color="FFFFFF" w:val="solid"/>
          </w:tcPr>
          <w:p>
            <w:r>
              <w:rPr>
                <w:rFonts w:ascii="Times New Roman" w:cs="Times New Roman" w:eastAsia="Times New Roman" w:hAnsi="Times New Roman"/>
                <w:color w:val="1F2937"/>
                <w:sz w:val="20"/>
                <w:szCs w:val="20"/>
              </w:rPr>
              <w:t xml:space="preserve">Altérée (fluctuante) : le patient n'est plus pleinement conscient de son environnement</w:t>
            </w:r>
          </w:p>
        </w:tc>
        <w:tc>
          <w:tcPr>
            <w:shd w:fill="FFFFFF" w:color="FFFFFF" w:val="solid"/>
          </w:tcPr>
          <w:p>
            <w:r>
              <w:rPr>
                <w:rFonts w:ascii="Times New Roman" w:cs="Times New Roman" w:eastAsia="Times New Roman" w:hAnsi="Times New Roman"/>
                <w:color w:val="1F2937"/>
                <w:sz w:val="20"/>
                <w:szCs w:val="20"/>
              </w:rPr>
              <w:t xml:space="preserve">Intacte aux stades précoces</w:t>
            </w:r>
          </w:p>
        </w:tc>
      </w:tr>
      <w:tr>
        <w:tc>
          <w:tcPr>
            <w:shd w:fill="EEF2F7" w:color="EEF2F7" w:val="solid"/>
          </w:tcPr>
          <w:p>
            <w:r>
              <w:rPr>
                <w:rFonts w:ascii="Times New Roman" w:cs="Times New Roman" w:eastAsia="Times New Roman" w:hAnsi="Times New Roman"/>
                <w:color w:val="1F2937"/>
                <w:sz w:val="20"/>
                <w:szCs w:val="20"/>
              </w:rPr>
              <w:t xml:space="preserve">Attention</w:t>
            </w:r>
          </w:p>
        </w:tc>
        <w:tc>
          <w:tcPr>
            <w:shd w:fill="EEF2F7" w:color="EEF2F7" w:val="solid"/>
          </w:tcPr>
          <w:p>
            <w:r>
              <w:rPr>
                <w:rFonts w:ascii="Times New Roman" w:cs="Times New Roman" w:eastAsia="Times New Roman" w:hAnsi="Times New Roman"/>
                <w:color w:val="1F2937"/>
                <w:sz w:val="20"/>
                <w:szCs w:val="20"/>
              </w:rPr>
              <w:t xml:space="preserve">Gravement altérée, fluctuante</w:t>
            </w:r>
          </w:p>
        </w:tc>
        <w:tc>
          <w:tcPr>
            <w:shd w:fill="EEF2F7" w:color="EEF2F7" w:val="solid"/>
          </w:tcPr>
          <w:p>
            <w:r>
              <w:rPr>
                <w:rFonts w:ascii="Times New Roman" w:cs="Times New Roman" w:eastAsia="Times New Roman" w:hAnsi="Times New Roman"/>
                <w:color w:val="1F2937"/>
                <w:sz w:val="20"/>
                <w:szCs w:val="20"/>
              </w:rPr>
              <w:t xml:space="preserve">Relativement préservée en début d'évolution</w:t>
            </w:r>
          </w:p>
        </w:tc>
      </w:tr>
      <w:tr>
        <w:tc>
          <w:tcPr>
            <w:shd w:fill="FFFFFF" w:color="FFFFFF" w:val="solid"/>
          </w:tcPr>
          <w:p>
            <w:r>
              <w:rPr>
                <w:rFonts w:ascii="Times New Roman" w:cs="Times New Roman" w:eastAsia="Times New Roman" w:hAnsi="Times New Roman"/>
                <w:color w:val="1F2937"/>
                <w:sz w:val="20"/>
                <w:szCs w:val="20"/>
              </w:rPr>
              <w:t xml:space="preserve">Cause</w:t>
            </w:r>
          </w:p>
        </w:tc>
        <w:tc>
          <w:tcPr>
            <w:shd w:fill="FFFFFF" w:color="FFFFFF" w:val="solid"/>
          </w:tcPr>
          <w:p>
            <w:r>
              <w:rPr>
                <w:rFonts w:ascii="Times New Roman" w:cs="Times New Roman" w:eastAsia="Times New Roman" w:hAnsi="Times New Roman"/>
                <w:color w:val="1F2937"/>
                <w:sz w:val="20"/>
                <w:szCs w:val="20"/>
              </w:rPr>
              <w:t xml:space="preserve">Aiguë et identifiable : infection, déshydratation, médicaments, sevrage, chirurgie</w:t>
            </w:r>
          </w:p>
        </w:tc>
        <w:tc>
          <w:tcPr>
            <w:shd w:fill="FFFFFF" w:color="FFFFFF" w:val="solid"/>
          </w:tcPr>
          <w:p>
            <w:r>
              <w:rPr>
                <w:rFonts w:ascii="Times New Roman" w:cs="Times New Roman" w:eastAsia="Times New Roman" w:hAnsi="Times New Roman"/>
                <w:color w:val="1F2937"/>
                <w:sz w:val="20"/>
                <w:szCs w:val="20"/>
              </w:rPr>
              <w:t xml:space="preserve">Dégénérative ou vasculaire chronique</w:t>
            </w:r>
          </w:p>
        </w:tc>
      </w:tr>
      <w:tr>
        <w:tc>
          <w:tcPr>
            <w:shd w:fill="EEF2F7" w:color="EEF2F7" w:val="solid"/>
          </w:tcPr>
          <w:p>
            <w:r>
              <w:rPr>
                <w:rFonts w:ascii="Times New Roman" w:cs="Times New Roman" w:eastAsia="Times New Roman" w:hAnsi="Times New Roman"/>
                <w:color w:val="1F2937"/>
                <w:sz w:val="20"/>
                <w:szCs w:val="20"/>
              </w:rPr>
              <w:t xml:space="preserve">Réversibilité</w:t>
            </w:r>
          </w:p>
        </w:tc>
        <w:tc>
          <w:tcPr>
            <w:shd w:fill="EEF2F7" w:color="EEF2F7" w:val="solid"/>
          </w:tcPr>
          <w:p>
            <w:r>
              <w:rPr>
                <w:rFonts w:ascii="Times New Roman" w:cs="Times New Roman" w:eastAsia="Times New Roman" w:hAnsi="Times New Roman"/>
                <w:color w:val="1F2937"/>
                <w:sz w:val="20"/>
                <w:szCs w:val="20"/>
              </w:rPr>
              <w:t xml:space="preserve">Habituellement réversible si cause traitée rapidement</w:t>
            </w:r>
          </w:p>
        </w:tc>
        <w:tc>
          <w:tcPr>
            <w:shd w:fill="EEF2F7" w:color="EEF2F7" w:val="solid"/>
          </w:tcPr>
          <w:p>
            <w:r>
              <w:rPr>
                <w:rFonts w:ascii="Times New Roman" w:cs="Times New Roman" w:eastAsia="Times New Roman" w:hAnsi="Times New Roman"/>
                <w:color w:val="1F2937"/>
                <w:sz w:val="20"/>
                <w:szCs w:val="20"/>
              </w:rPr>
              <w:t xml:space="preserve">Généralement irréversible</w:t>
            </w:r>
          </w:p>
        </w:tc>
      </w:tr>
      <w:tr>
        <w:tc>
          <w:tcPr>
            <w:shd w:fill="FFFFFF" w:color="FFFFFF" w:val="solid"/>
          </w:tcPr>
          <w:p>
            <w:r>
              <w:rPr>
                <w:rFonts w:ascii="Times New Roman" w:cs="Times New Roman" w:eastAsia="Times New Roman" w:hAnsi="Times New Roman"/>
                <w:color w:val="1F2937"/>
                <w:sz w:val="20"/>
                <w:szCs w:val="20"/>
              </w:rPr>
              <w:t xml:space="preserve">Hallucinations</w:t>
            </w:r>
          </w:p>
        </w:tc>
        <w:tc>
          <w:tcPr>
            <w:shd w:fill="FFFFFF" w:color="FFFFFF" w:val="solid"/>
          </w:tcPr>
          <w:p>
            <w:r>
              <w:rPr>
                <w:rFonts w:ascii="Times New Roman" w:cs="Times New Roman" w:eastAsia="Times New Roman" w:hAnsi="Times New Roman"/>
                <w:color w:val="1F2937"/>
                <w:sz w:val="20"/>
                <w:szCs w:val="20"/>
              </w:rPr>
              <w:t xml:space="preserve">Fréquentes (visuelles ++), liées aux fluctuations de conscience</w:t>
            </w:r>
          </w:p>
        </w:tc>
        <w:tc>
          <w:tcPr>
            <w:shd w:fill="FFFFFF" w:color="FFFFFF" w:val="solid"/>
          </w:tcPr>
          <w:p>
            <w:r>
              <w:rPr>
                <w:rFonts w:ascii="Times New Roman" w:cs="Times New Roman" w:eastAsia="Times New Roman" w:hAnsi="Times New Roman"/>
                <w:color w:val="1F2937"/>
                <w:sz w:val="20"/>
                <w:szCs w:val="20"/>
              </w:rPr>
              <w:t xml:space="preserve">Présentes selon le sous-type (corps de Lewy ++)</w:t>
            </w:r>
          </w:p>
        </w:tc>
      </w:tr>
      <w:tr>
        <w:tc>
          <w:tcPr>
            <w:shd w:fill="EEF2F7" w:color="EEF2F7" w:val="solid"/>
          </w:tcPr>
          <w:p>
            <w:r>
              <w:rPr>
                <w:rFonts w:ascii="Times New Roman" w:cs="Times New Roman" w:eastAsia="Times New Roman" w:hAnsi="Times New Roman"/>
                <w:color w:val="1F2937"/>
                <w:sz w:val="20"/>
                <w:szCs w:val="20"/>
              </w:rPr>
              <w:t xml:space="preserve">Risque de superposition</w:t>
            </w:r>
          </w:p>
        </w:tc>
        <w:tc>
          <w:tcPr>
            <w:shd w:fill="EEF2F7" w:color="EEF2F7" w:val="solid"/>
          </w:tcPr>
          <w:p>
            <w:r>
              <w:rPr>
                <w:rFonts w:ascii="Times New Roman" w:cs="Times New Roman" w:eastAsia="Times New Roman" w:hAnsi="Times New Roman"/>
                <w:color w:val="1F2937"/>
                <w:sz w:val="20"/>
                <w:szCs w:val="20"/>
              </w:rPr>
              <w:t xml:space="preserve">49 % des TNC majeurs hospitalisés développent un délirium surajouté</w:t>
            </w:r>
          </w:p>
        </w:tc>
        <w:tc>
          <w:tcPr>
            <w:shd w:fill="EEF2F7" w:color="EEF2F7" w:val="solid"/>
          </w:tcPr>
          <w:p>
            <w:r>
              <w:rPr>
                <w:rFonts w:ascii="Times New Roman" w:cs="Times New Roman" w:eastAsia="Times New Roman" w:hAnsi="Times New Roman"/>
                <w:color w:val="1F2937"/>
                <w:sz w:val="20"/>
                <w:szCs w:val="20"/>
              </w:rPr>
              <w:t xml:space="preserve">Le délirium masque / aggrave le tableau</w:t>
            </w:r>
          </w:p>
        </w:tc>
      </w:tr>
    </w:tbl>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hd w:fill="EEF2F7" w:color="EEF2F7" w:val="solid"/>
        <w:spacing w:after="100" w:before="100"/>
        <w:ind w:left="360" w:right="360"/>
      </w:pPr>
      <w:r>
        <w:rPr>
          <w:rFonts w:ascii="Times New Roman" w:cs="Times New Roman" w:eastAsia="Times New Roman" w:hAnsi="Times New Roman"/>
          <w:i/>
          <w:iCs/>
          <w:color w:val="1F2937"/>
          <w:sz w:val="22"/>
          <w:szCs w:val="22"/>
        </w:rPr>
        <w:t xml:space="preserve">💡 Pourquoi cette distinction est-elle cruciale ? Un délirium mal reconnu (confondu avec une démence) retarde le traitement de la cause médicale sous-jacente et aggrave le pronostic. À l'inverse, diagnostiquer un délirium à la place d'une démence sous-jacente passe à côté d'un accompagnement long terme nécessaire.</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Exercice 3 — Analyse de parcours : progression de la maladie d'Alzheimer</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Ci-dessous, une vignette longitudinale en 3 temps. Pour chaque stade, identifie : (a) le niveau de sévérité du TNC selon le DSM-5, (b) les domaines cognitifs principalement atteints, (c) le retentissement probable sur l'autonomie.</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STADE 1 — M. D., 71 ans (il y a 4 ans)</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Sa femme remarque qu'il oublie les prénoms de collègues récents. Il gère encore seul toutes ses activités, conduit, fait ses courses, mais compense en prenant beaucoup de notes.</w:t>
      </w:r>
    </w:p>
    <w:p>
      <w:pPr>
        <w:spacing w:after="60" w:before="60"/>
        <w:ind w:left="360"/>
      </w:pPr>
      <w:r>
        <w:rPr>
          <w:rFonts w:ascii="Times New Roman" w:cs="Times New Roman" w:eastAsia="Times New Roman" w:hAnsi="Times New Roman"/>
          <w:b w:val="false"/>
          <w:bCs w:val="false"/>
          <w:i w:val="false"/>
          <w:iCs w:val="false"/>
          <w:color w:val="888888"/>
          <w:sz w:val="22"/>
          <w:szCs w:val="22"/>
        </w:rPr>
        <w:t xml:space="preserve">Ta réponse : ___________________________________________</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STADE 2 — M. D., 74 ans (il y a 1 an)</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Il a dû arrêter de conduire après deux incidents. Il ne prépare plus les repas (oublie les étapes). Il reconnaît encore tous ses proches, mais a besoin d'aide pour gérer ses médicaments et son budget.</w:t>
      </w:r>
    </w:p>
    <w:p>
      <w:pPr>
        <w:spacing w:after="60" w:before="60"/>
        <w:ind w:left="360"/>
      </w:pPr>
      <w:r>
        <w:rPr>
          <w:rFonts w:ascii="Times New Roman" w:cs="Times New Roman" w:eastAsia="Times New Roman" w:hAnsi="Times New Roman"/>
          <w:b w:val="false"/>
          <w:bCs w:val="false"/>
          <w:i w:val="false"/>
          <w:iCs w:val="false"/>
          <w:color w:val="888888"/>
          <w:sz w:val="22"/>
          <w:szCs w:val="22"/>
        </w:rPr>
        <w:t xml:space="preserve">Ta réponse : ___________________________________________</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STADE 3 — M. D., 75 ans (aujourd'hui)</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Il ne reconnaît plus sa fille. Il ne peut plus manger seul, confond parfois le jour et la nuit. Des épisodes d'agitation nocturne apparaissent. Il ne parle plus qu'en mots isolés.</w:t>
      </w:r>
    </w:p>
    <w:p>
      <w:pPr>
        <w:spacing w:after="60" w:before="60"/>
        <w:ind w:left="360"/>
      </w:pPr>
      <w:r>
        <w:rPr>
          <w:rFonts w:ascii="Times New Roman" w:cs="Times New Roman" w:eastAsia="Times New Roman" w:hAnsi="Times New Roman"/>
          <w:b w:val="false"/>
          <w:bCs w:val="false"/>
          <w:i w:val="false"/>
          <w:iCs w:val="false"/>
          <w:color w:val="888888"/>
          <w:sz w:val="22"/>
          <w:szCs w:val="22"/>
        </w:rPr>
        <w:t xml:space="preserve">Ta réponse : ___________________________________________</w:t>
      </w:r>
    </w:p>
    <w:p>
      <w:pPr>
        <w:pStyle w:val="Heading3"/>
        <w:spacing w:after="80" w:before="200"/>
      </w:pPr>
      <w:r>
        <w:rPr>
          <w:rFonts w:ascii="Times New Roman" w:cs="Times New Roman" w:eastAsia="Times New Roman" w:hAnsi="Times New Roman"/>
          <w:b/>
          <w:bCs/>
          <w:color w:val="1F2937"/>
          <w:sz w:val="26"/>
          <w:szCs w:val="26"/>
        </w:rPr>
        <w:t xml:space="preserve">✅ Corrigé — Exercice 3</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Stade 1 : TNC léger. Domaine atteint : mémoire épisodique (noms, événements). Autonomie préservée grâce à la compensation. La gestion de toutes les activités reste possible sans aide extérieure.</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Stade 2 : TNC majeur de sévérité légère à modérée. Domaines atteints : mémoire (séquences), fonctions exécutives (planification du repas, gestion budget), cognition perceptivo-motrice (conduite). Retentissement : aide nécessaire pour les activités instrumentales (médicaments, budget, cuisine) — les activités de base (toilette, alimentation) restent possibles.</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Stade 3 : TNC majeur de sévérité sévère. Domaines atteints : mémoire (ne reconnaît plus les proches — agnosie des personnes), langage (mots isolés), fonctions exécutives, attention, cognition sociale. Retentissement : dépendance totale pour les actes de base (alimentation). Les troubles du comportement (agitation nocturne) caractérisent ce stade avancé.</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120" w:before="120"/>
      </w:pPr>
      <w:r>
        <w:rPr>
          <w:rFonts w:ascii="Times New Roman" w:cs="Times New Roman" w:eastAsia="Times New Roman" w:hAnsi="Times New Roman"/>
          <w:color w:val="CCCCCC"/>
          <w:sz w:val="20"/>
          <w:szCs w:val="20"/>
        </w:rPr>
        <w:t xml:space="preserve">────────────────────────────────────────────────────────────</w:t>
      </w:r>
    </w:p>
    <w:p>
      <w:pPr>
        <w:pStyle w:val="Heading2"/>
        <w:spacing w:after="120" w:before="320"/>
      </w:pPr>
      <w:r>
        <w:rPr>
          <w:rFonts w:ascii="Times New Roman" w:cs="Times New Roman" w:eastAsia="Times New Roman" w:hAnsi="Times New Roman"/>
          <w:b/>
          <w:bCs/>
          <w:color w:val="1B3A6B"/>
          <w:sz w:val="30"/>
          <w:szCs w:val="30"/>
        </w:rPr>
        <w:t xml:space="preserve">🎯 Challenge — Dépistage et observation en milieu éducatif</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Ce challenge mobilise l'ensemble de la leçon. Il comporte deux parties.</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PARTIE A — Construire une grille d'observation</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Sur la base des 6 domaines cognitifs du DSM-5, crée une grille d'observation à destination d'une équipe éducative (AES, moniteurs-éducateurs) pour une personne accompagnée en foyer d'hébergement présentant des signes de déclin cognitif.</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Pour chaque domaine, propose :</w:t>
      </w:r>
    </w:p>
    <w:p>
      <w:pPr>
        <w:pStyle w:val="ListParagraph"/>
        <w:numPr>
          <w:ilvl w:val="1"/>
          <w:numId w:val="1"/>
        </w:numPr>
        <w:spacing w:after="30" w:before="30"/>
      </w:pPr>
      <w:r>
        <w:rPr>
          <w:rFonts w:ascii="Times New Roman" w:cs="Times New Roman" w:eastAsia="Times New Roman" w:hAnsi="Times New Roman"/>
          <w:color w:val="1F2937"/>
          <w:sz w:val="22"/>
          <w:szCs w:val="22"/>
        </w:rPr>
        <w:t xml:space="preserve">2 indicateurs observables dans la vie quotidienne (sans outil de test)</w:t>
      </w:r>
    </w:p>
    <w:p>
      <w:pPr>
        <w:pStyle w:val="ListParagraph"/>
        <w:numPr>
          <w:ilvl w:val="1"/>
          <w:numId w:val="1"/>
        </w:numPr>
        <w:spacing w:after="30" w:before="30"/>
      </w:pPr>
      <w:r>
        <w:rPr>
          <w:rFonts w:ascii="Times New Roman" w:cs="Times New Roman" w:eastAsia="Times New Roman" w:hAnsi="Times New Roman"/>
          <w:color w:val="1F2937"/>
          <w:sz w:val="22"/>
          <w:szCs w:val="22"/>
        </w:rPr>
        <w:t xml:space="preserve">1 question à poser à la personne ou à un proche</w:t>
      </w:r>
    </w:p>
    <w:p>
      <w:pPr>
        <w:spacing w:after="60" w:before="60"/>
        <w:ind w:left="360"/>
      </w:pPr>
      <w:r>
        <w:rPr>
          <w:rFonts w:ascii="Times New Roman" w:cs="Times New Roman" w:eastAsia="Times New Roman" w:hAnsi="Times New Roman"/>
          <w:b w:val="false"/>
          <w:bCs w:val="false"/>
          <w:i/>
          <w:iCs/>
          <w:color w:val="1F2937"/>
          <w:sz w:val="22"/>
          <w:szCs w:val="22"/>
        </w:rPr>
        <w:t xml:space="preserve">Rappel : il ne s'agit pas de diagnostiquer, mais de décrire ce qui est observé pour transmettre à l'équipe médicale.</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PARTIE B — Distinguer et orienter</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Un résident de ton foyer (45 ans, handicap mental léger) présente depuis 3 semaines des oublis fréquents, une confusion nocturne et une agitation inhabituelle. Une première hypothèse est posée : TNC majeur précoce. Quelle contre-hypothèse diagnostique principale dois-tu soulever ? Quels signes permettraient de la distinguer ? Vers quel professionnel orienter en priorité ?</w:t>
      </w:r>
    </w:p>
    <w:p>
      <w:pPr>
        <w:pStyle w:val="Heading3"/>
        <w:spacing w:after="80" w:before="200"/>
      </w:pPr>
      <w:r>
        <w:rPr>
          <w:rFonts w:ascii="Times New Roman" w:cs="Times New Roman" w:eastAsia="Times New Roman" w:hAnsi="Times New Roman"/>
          <w:b/>
          <w:bCs/>
          <w:color w:val="1F2937"/>
          <w:sz w:val="26"/>
          <w:szCs w:val="26"/>
        </w:rPr>
        <w:t xml:space="preserve">✅ Corrigé — Challenge</w:t>
      </w:r>
    </w:p>
    <w:p>
      <w:pPr>
        <w:spacing w:after="60" w:before="60"/>
        <w:ind/>
      </w:pPr>
      <w:r>
        <w:rPr>
          <w:rFonts w:ascii="Times New Roman" w:cs="Times New Roman" w:eastAsia="Times New Roman" w:hAnsi="Times New Roman"/>
          <w:b/>
          <w:bCs/>
          <w:i w:val="false"/>
          <w:iCs w:val="false"/>
          <w:color w:val="1F2937"/>
          <w:sz w:val="22"/>
          <w:szCs w:val="22"/>
        </w:rPr>
        <w:t xml:space="preserve">PARTIE A — Éléments de réponse indicatifs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shd w:fill="1B3A6B" w:color="1B3A6B" w:val="solid"/>
            <w:vAlign w:val="center"/>
          </w:tcPr>
          <w:p>
            <w:pPr>
              <w:jc w:val="center"/>
            </w:pPr>
            <w:r>
              <w:rPr>
                <w:rFonts w:ascii="Times New Roman" w:cs="Times New Roman" w:eastAsia="Times New Roman" w:hAnsi="Times New Roman"/>
                <w:b/>
                <w:bCs/>
                <w:color w:val="FFFFFF"/>
                <w:sz w:val="20"/>
                <w:szCs w:val="20"/>
              </w:rPr>
              <w:t xml:space="preserve">Domaine</w:t>
            </w:r>
          </w:p>
        </w:tc>
        <w:tc>
          <w:tcPr>
            <w:shd w:fill="1B3A6B" w:color="1B3A6B" w:val="solid"/>
            <w:vAlign w:val="center"/>
          </w:tcPr>
          <w:p>
            <w:pPr>
              <w:jc w:val="center"/>
            </w:pPr>
            <w:r>
              <w:rPr>
                <w:rFonts w:ascii="Times New Roman" w:cs="Times New Roman" w:eastAsia="Times New Roman" w:hAnsi="Times New Roman"/>
                <w:b/>
                <w:bCs/>
                <w:color w:val="FFFFFF"/>
                <w:sz w:val="20"/>
                <w:szCs w:val="20"/>
              </w:rPr>
              <w:t xml:space="preserve">Indicateurs observables</w:t>
            </w:r>
          </w:p>
        </w:tc>
        <w:tc>
          <w:tcPr>
            <w:shd w:fill="1B3A6B" w:color="1B3A6B" w:val="solid"/>
            <w:vAlign w:val="center"/>
          </w:tcPr>
          <w:p>
            <w:pPr>
              <w:jc w:val="center"/>
            </w:pPr>
            <w:r>
              <w:rPr>
                <w:rFonts w:ascii="Times New Roman" w:cs="Times New Roman" w:eastAsia="Times New Roman" w:hAnsi="Times New Roman"/>
                <w:b/>
                <w:bCs/>
                <w:color w:val="FFFFFF"/>
                <w:sz w:val="20"/>
                <w:szCs w:val="20"/>
              </w:rPr>
              <w:t xml:space="preserve">Question à poser</w:t>
            </w:r>
          </w:p>
        </w:tc>
      </w:tr>
      <w:tr>
        <w:tc>
          <w:tcPr>
            <w:shd w:fill="FFFFFF" w:color="FFFFFF" w:val="solid"/>
          </w:tcPr>
          <w:p>
            <w:r>
              <w:rPr>
                <w:rFonts w:ascii="Times New Roman" w:cs="Times New Roman" w:eastAsia="Times New Roman" w:hAnsi="Times New Roman"/>
                <w:color w:val="1F2937"/>
                <w:sz w:val="20"/>
                <w:szCs w:val="20"/>
              </w:rPr>
              <w:t xml:space="preserve">Mémoire/apprentissage</w:t>
            </w:r>
          </w:p>
        </w:tc>
        <w:tc>
          <w:tcPr>
            <w:shd w:fill="FFFFFF" w:color="FFFFFF" w:val="solid"/>
          </w:tcPr>
          <w:p>
            <w:r>
              <w:rPr>
                <w:rFonts w:ascii="Times New Roman" w:cs="Times New Roman" w:eastAsia="Times New Roman" w:hAnsi="Times New Roman"/>
                <w:color w:val="1F2937"/>
                <w:sz w:val="20"/>
                <w:szCs w:val="20"/>
              </w:rPr>
              <w:t xml:space="preserve">Répète les mêmes questions / Ne retrouve plus ses affaires habituelles</w:t>
            </w:r>
          </w:p>
        </w:tc>
        <w:tc>
          <w:tcPr>
            <w:shd w:fill="FFFFFF" w:color="FFFFFF" w:val="solid"/>
          </w:tcPr>
          <w:p>
            <w:r>
              <w:rPr>
                <w:rFonts w:ascii="Times New Roman" w:cs="Times New Roman" w:eastAsia="Times New Roman" w:hAnsi="Times New Roman"/>
                <w:color w:val="1F2937"/>
                <w:sz w:val="20"/>
                <w:szCs w:val="20"/>
              </w:rPr>
              <w:t xml:space="preserve">« Tu te souviens de ce que tu as fait hier matin ? »</w:t>
            </w:r>
          </w:p>
        </w:tc>
      </w:tr>
      <w:tr>
        <w:tc>
          <w:tcPr>
            <w:shd w:fill="EEF2F7" w:color="EEF2F7" w:val="solid"/>
          </w:tcPr>
          <w:p>
            <w:r>
              <w:rPr>
                <w:rFonts w:ascii="Times New Roman" w:cs="Times New Roman" w:eastAsia="Times New Roman" w:hAnsi="Times New Roman"/>
                <w:color w:val="1F2937"/>
                <w:sz w:val="20"/>
                <w:szCs w:val="20"/>
              </w:rPr>
              <w:t xml:space="preserve">Fonctions exécutives</w:t>
            </w:r>
          </w:p>
        </w:tc>
        <w:tc>
          <w:tcPr>
            <w:shd w:fill="EEF2F7" w:color="EEF2F7" w:val="solid"/>
          </w:tcPr>
          <w:p>
            <w:r>
              <w:rPr>
                <w:rFonts w:ascii="Times New Roman" w:cs="Times New Roman" w:eastAsia="Times New Roman" w:hAnsi="Times New Roman"/>
                <w:color w:val="1F2937"/>
                <w:sz w:val="20"/>
                <w:szCs w:val="20"/>
              </w:rPr>
              <w:t xml:space="preserve">Abandonne une tâche en cours / Ne suit plus les étapes d'une recette connue</w:t>
            </w:r>
          </w:p>
        </w:tc>
        <w:tc>
          <w:tcPr>
            <w:shd w:fill="EEF2F7" w:color="EEF2F7" w:val="solid"/>
          </w:tcPr>
          <w:p>
            <w:r>
              <w:rPr>
                <w:rFonts w:ascii="Times New Roman" w:cs="Times New Roman" w:eastAsia="Times New Roman" w:hAnsi="Times New Roman"/>
                <w:color w:val="1F2937"/>
                <w:sz w:val="20"/>
                <w:szCs w:val="20"/>
              </w:rPr>
              <w:t xml:space="preserve">« Est-ce que tu peux me raconter comment tu prépares ton café ? »</w:t>
            </w:r>
          </w:p>
        </w:tc>
      </w:tr>
      <w:tr>
        <w:tc>
          <w:tcPr>
            <w:shd w:fill="FFFFFF" w:color="FFFFFF" w:val="solid"/>
          </w:tcPr>
          <w:p>
            <w:r>
              <w:rPr>
                <w:rFonts w:ascii="Times New Roman" w:cs="Times New Roman" w:eastAsia="Times New Roman" w:hAnsi="Times New Roman"/>
                <w:color w:val="1F2937"/>
                <w:sz w:val="20"/>
                <w:szCs w:val="20"/>
              </w:rPr>
              <w:t xml:space="preserve">Attention</w:t>
            </w:r>
          </w:p>
        </w:tc>
        <w:tc>
          <w:tcPr>
            <w:shd w:fill="FFFFFF" w:color="FFFFFF" w:val="solid"/>
          </w:tcPr>
          <w:p>
            <w:r>
              <w:rPr>
                <w:rFonts w:ascii="Times New Roman" w:cs="Times New Roman" w:eastAsia="Times New Roman" w:hAnsi="Times New Roman"/>
                <w:color w:val="1F2937"/>
                <w:sz w:val="20"/>
                <w:szCs w:val="20"/>
              </w:rPr>
              <w:t xml:space="preserve">Ne finit plus un repas sans se lever / Ne tient plus une conversation de 5 min</w:t>
            </w:r>
          </w:p>
        </w:tc>
        <w:tc>
          <w:tcPr>
            <w:shd w:fill="FFFFFF" w:color="FFFFFF" w:val="solid"/>
          </w:tcPr>
          <w:p>
            <w:r>
              <w:rPr>
                <w:rFonts w:ascii="Times New Roman" w:cs="Times New Roman" w:eastAsia="Times New Roman" w:hAnsi="Times New Roman"/>
                <w:color w:val="1F2937"/>
                <w:sz w:val="20"/>
                <w:szCs w:val="20"/>
              </w:rPr>
              <w:t xml:space="preserve">« Tu as du mal à te concentrer ces derniers temps ? »</w:t>
            </w:r>
          </w:p>
        </w:tc>
      </w:tr>
      <w:tr>
        <w:tc>
          <w:tcPr>
            <w:shd w:fill="EEF2F7" w:color="EEF2F7" w:val="solid"/>
          </w:tcPr>
          <w:p>
            <w:r>
              <w:rPr>
                <w:rFonts w:ascii="Times New Roman" w:cs="Times New Roman" w:eastAsia="Times New Roman" w:hAnsi="Times New Roman"/>
                <w:color w:val="1F2937"/>
                <w:sz w:val="20"/>
                <w:szCs w:val="20"/>
              </w:rPr>
              <w:t xml:space="preserve">Langage</w:t>
            </w:r>
          </w:p>
        </w:tc>
        <w:tc>
          <w:tcPr>
            <w:shd w:fill="EEF2F7" w:color="EEF2F7" w:val="solid"/>
          </w:tcPr>
          <w:p>
            <w:r>
              <w:rPr>
                <w:rFonts w:ascii="Times New Roman" w:cs="Times New Roman" w:eastAsia="Times New Roman" w:hAnsi="Times New Roman"/>
                <w:color w:val="1F2937"/>
                <w:sz w:val="20"/>
                <w:szCs w:val="20"/>
              </w:rPr>
              <w:t xml:space="preserve">Cherche ses mots, s'arrête au milieu d'une phrase, utilise « truc » / « machin »</w:t>
            </w:r>
          </w:p>
        </w:tc>
        <w:tc>
          <w:tcPr>
            <w:shd w:fill="EEF2F7" w:color="EEF2F7" w:val="solid"/>
          </w:tcPr>
          <w:p>
            <w:r>
              <w:rPr>
                <w:rFonts w:ascii="Times New Roman" w:cs="Times New Roman" w:eastAsia="Times New Roman" w:hAnsi="Times New Roman"/>
                <w:color w:val="1F2937"/>
                <w:sz w:val="20"/>
                <w:szCs w:val="20"/>
              </w:rPr>
              <w:t xml:space="preserve">« Comment tu appelles ça ? » (en montrant un objet)</w:t>
            </w:r>
          </w:p>
        </w:tc>
      </w:tr>
      <w:tr>
        <w:tc>
          <w:tcPr>
            <w:shd w:fill="FFFFFF" w:color="FFFFFF" w:val="solid"/>
          </w:tcPr>
          <w:p>
            <w:r>
              <w:rPr>
                <w:rFonts w:ascii="Times New Roman" w:cs="Times New Roman" w:eastAsia="Times New Roman" w:hAnsi="Times New Roman"/>
                <w:color w:val="1F2937"/>
                <w:sz w:val="20"/>
                <w:szCs w:val="20"/>
              </w:rPr>
              <w:t xml:space="preserve">Visuospatial</w:t>
            </w:r>
          </w:p>
        </w:tc>
        <w:tc>
          <w:tcPr>
            <w:shd w:fill="FFFFFF" w:color="FFFFFF" w:val="solid"/>
          </w:tcPr>
          <w:p>
            <w:r>
              <w:rPr>
                <w:rFonts w:ascii="Times New Roman" w:cs="Times New Roman" w:eastAsia="Times New Roman" w:hAnsi="Times New Roman"/>
                <w:color w:val="1F2937"/>
                <w:sz w:val="20"/>
                <w:szCs w:val="20"/>
              </w:rPr>
              <w:t xml:space="preserve">Se perd dans l'établissement / Heurte les meubles, chutes</w:t>
            </w:r>
          </w:p>
        </w:tc>
        <w:tc>
          <w:tcPr>
            <w:shd w:fill="FFFFFF" w:color="FFFFFF" w:val="solid"/>
          </w:tcPr>
          <w:p>
            <w:r>
              <w:rPr>
                <w:rFonts w:ascii="Times New Roman" w:cs="Times New Roman" w:eastAsia="Times New Roman" w:hAnsi="Times New Roman"/>
                <w:color w:val="1F2937"/>
                <w:sz w:val="20"/>
                <w:szCs w:val="20"/>
              </w:rPr>
              <w:t xml:space="preserve">« Tu as eu du mal à retrouver ta chambre dernièrement ? »</w:t>
            </w:r>
          </w:p>
        </w:tc>
      </w:tr>
      <w:tr>
        <w:tc>
          <w:tcPr>
            <w:shd w:fill="EEF2F7" w:color="EEF2F7" w:val="solid"/>
          </w:tcPr>
          <w:p>
            <w:r>
              <w:rPr>
                <w:rFonts w:ascii="Times New Roman" w:cs="Times New Roman" w:eastAsia="Times New Roman" w:hAnsi="Times New Roman"/>
                <w:color w:val="1F2937"/>
                <w:sz w:val="20"/>
                <w:szCs w:val="20"/>
              </w:rPr>
              <w:t xml:space="preserve">Cognition sociale</w:t>
            </w:r>
          </w:p>
        </w:tc>
        <w:tc>
          <w:tcPr>
            <w:shd w:fill="EEF2F7" w:color="EEF2F7" w:val="solid"/>
          </w:tcPr>
          <w:p>
            <w:r>
              <w:rPr>
                <w:rFonts w:ascii="Times New Roman" w:cs="Times New Roman" w:eastAsia="Times New Roman" w:hAnsi="Times New Roman"/>
                <w:color w:val="1F2937"/>
                <w:sz w:val="20"/>
                <w:szCs w:val="20"/>
              </w:rPr>
              <w:t xml:space="preserve">Réagit de façon inhabituelle à des plaisanteries / Comportements déshinibés récents</w:t>
            </w:r>
          </w:p>
        </w:tc>
        <w:tc>
          <w:tcPr>
            <w:shd w:fill="EEF2F7" w:color="EEF2F7" w:val="solid"/>
          </w:tcPr>
          <w:p>
            <w:r>
              <w:rPr>
                <w:rFonts w:ascii="Times New Roman" w:cs="Times New Roman" w:eastAsia="Times New Roman" w:hAnsi="Times New Roman"/>
                <w:color w:val="1F2937"/>
                <w:sz w:val="20"/>
                <w:szCs w:val="20"/>
              </w:rPr>
              <w:t xml:space="preserve">Son entourage : « Son comportement avec les autres a changé ? »</w:t>
            </w:r>
          </w:p>
        </w:tc>
      </w:tr>
    </w:tbl>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pPr>
      <w:r>
        <w:rPr>
          <w:rFonts w:ascii="Times New Roman" w:cs="Times New Roman" w:eastAsia="Times New Roman" w:hAnsi="Times New Roman"/>
          <w:b/>
          <w:bCs/>
          <w:i w:val="false"/>
          <w:iCs w:val="false"/>
          <w:color w:val="1F2937"/>
          <w:sz w:val="22"/>
          <w:szCs w:val="22"/>
        </w:rPr>
        <w:t xml:space="preserve">PARTIE B — Corrigé :</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La contre-hypothèse principale est le délirium sur cause médicale aiguë (infection, constipation, déshydratation, intoxication médicamenteuse, sevrage). Le début est survenu il y a 3 semaines — délai court, point de départ identifiable — ce qui est davantage compatible avec un délirium qu'avec un TNC majeur dont le déclin est progressif sur des mois/années.</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Signes permettant de distinguer : fluctuation heure par heure, trouble de la conscience (le résident semble « absent »), bilan médical retrouvant une cause aiguë.</w:t>
      </w:r>
    </w:p>
    <w:p>
      <w:pPr>
        <w:spacing w:after="60" w:before="60"/>
        <w:ind w:left="360"/>
      </w:pPr>
      <w:r>
        <w:rPr>
          <w:rFonts w:ascii="Times New Roman" w:cs="Times New Roman" w:eastAsia="Times New Roman" w:hAnsi="Times New Roman"/>
          <w:b w:val="false"/>
          <w:bCs w:val="false"/>
          <w:i w:val="false"/>
          <w:iCs w:val="false"/>
          <w:color w:val="1F2937"/>
          <w:sz w:val="22"/>
          <w:szCs w:val="22"/>
        </w:rPr>
        <w:t xml:space="preserve">Orientation prioritaire : médecin généraliste ou urgences si état aigu, pour éliminer une cause somatique traitable. En parallèle, transmission écrite détaillée à l'équipe soignante et au médecin traitant, incluant : dates d'apparition, description précise des comportements observés, contexte (médicaments récents modifiés ?).</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
      </w:r>
    </w:p>
    <w:p>
      <w:pPr>
        <w:shd w:fill="EEF2F7" w:color="EEF2F7" w:val="solid"/>
        <w:spacing w:after="100" w:before="100"/>
        <w:ind w:left="360" w:right="360"/>
      </w:pPr>
      <w:r>
        <w:rPr>
          <w:rFonts w:ascii="Times New Roman" w:cs="Times New Roman" w:eastAsia="Times New Roman" w:hAnsi="Times New Roman"/>
          <w:i/>
          <w:iCs/>
          <w:color w:val="1F2937"/>
          <w:sz w:val="22"/>
          <w:szCs w:val="22"/>
        </w:rPr>
        <w:t xml:space="preserve">⚠️ Point déontologique : dans les structures pour personnes en situation de handicap mental (comme un foyer d'hébergement), la pathologie psychiatrique et le handicap cognitif préexistants rendent le dépistage des TNC particulièrement délicat. Le déclin doit toujours être évalué par rapport au niveau de fonctionnement ANTÉRIEUR de la personne, et non par rapport à une norme populationnelle. C'est une posture fondamentale pour éviter la sur- ou la sous-détection.</w:t>
      </w:r>
    </w:p>
    <w:p>
      <w:pPr>
        <w:spacing w:after="120" w:before="120"/>
      </w:pPr>
      <w:r>
        <w:rPr>
          <w:rFonts w:ascii="Times New Roman" w:cs="Times New Roman" w:eastAsia="Times New Roman" w:hAnsi="Times New Roman"/>
          <w:color w:val="CCCCCC"/>
          <w:sz w:val="20"/>
          <w:szCs w:val="20"/>
        </w:rPr>
        <w:t xml:space="preserve">────────────────────────────────────────────────────────────</w:t>
      </w:r>
    </w:p>
    <w:p>
      <w:pPr>
        <w:pStyle w:val="Heading2"/>
        <w:spacing w:after="120" w:before="320"/>
      </w:pPr>
      <w:r>
        <w:rPr>
          <w:rFonts w:ascii="Times New Roman" w:cs="Times New Roman" w:eastAsia="Times New Roman" w:hAnsi="Times New Roman"/>
          <w:b/>
          <w:bCs/>
          <w:color w:val="1B3A6B"/>
          <w:sz w:val="30"/>
          <w:szCs w:val="30"/>
        </w:rPr>
        <w:t xml:space="preserve">🌉 Pont professionnel</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En foyer d'hébergement pour adultes en situation de handicap mental et psychique, les résidents vieillissent. Le vieillissement précoce est documenté dans certaines populations (trisomie 21 : risque élevé de maladie d'Alzheimer dès 40-50 ans). Plusieurs repères sont utiles pour l'équipe éducative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Observer et décrire, pas diagnostiquer : formaliser l'observation en termes de domaines cognitifs atteints (grille ci-dessus) et la transmettre au médecin ou à l'équipe pluridisciplinaire.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Distinguer le déclin du comportement habituel : la référence est le fonctionnement antérieur de la personne, pas une norme populationnelle.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La RBPP « L'accompagnement des personnes atteintes d'une maladie d'Alzheimer ou apparentée en établissement médico-social » — publiée par l'ANESM le 2 février 2009 dans le cadre du plan Alzheimer 2008-2012, et reprise par la HAS le 16 mars 2018. ⚠️ Citer les deux dates : « mars 2018 » seul laisse croire à un texte récent alors que le contenu a dix-sept ans — il reste applicable et maintenu par la HAS, mais un évaluateur fera la différence est directement applicable aux ESSMS hébergeant des personnes âgées. Elle insiste sur la préservation de l'autonomie dans les choix de vie quotidienne, le projet personnalisé, et la formation des équipes à la prévention des troubles du comportement.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Les approches non médicamenteuses validées (stimulation cognitive, Snoezelen, activité physique adaptée, musicothérapie) relèvent directement des compétences éducatives.</w:t>
      </w:r>
    </w:p>
    <w:p>
      <w:pPr>
        <w:spacing w:after="120" w:before="120"/>
      </w:pPr>
      <w:r>
        <w:rPr>
          <w:rFonts w:ascii="Times New Roman" w:cs="Times New Roman" w:eastAsia="Times New Roman" w:hAnsi="Times New Roman"/>
          <w:color w:val="CCCCCC"/>
          <w:sz w:val="20"/>
          <w:szCs w:val="20"/>
        </w:rPr>
        <w:t xml:space="preserve">────────────────────────────────────────────────────────────</w:t>
      </w:r>
    </w:p>
    <w:p>
      <w:pPr>
        <w:pStyle w:val="Heading2"/>
        <w:spacing w:after="120" w:before="320"/>
      </w:pPr>
      <w:r>
        <w:rPr>
          <w:rFonts w:ascii="Times New Roman" w:cs="Times New Roman" w:eastAsia="Times New Roman" w:hAnsi="Times New Roman"/>
          <w:b/>
          <w:bCs/>
          <w:color w:val="1B3A6B"/>
          <w:sz w:val="30"/>
          <w:szCs w:val="30"/>
        </w:rPr>
        <w:t xml:space="preserve">📚 Ressources pour approfondir</w:t>
      </w:r>
    </w:p>
    <w:p>
      <w:pPr>
        <w:pStyle w:val="ListParagraph"/>
        <w:numPr>
          <w:ilvl w:val="0"/>
          <w:numId w:val="1"/>
        </w:numPr>
        <w:spacing w:after="40" w:before="40"/>
      </w:pPr>
      <w:hyperlink w:history="1" r:id="rIdlmqvlrrmifa-ijeex3qo_">
        <w:r>
          <w:rPr>
            <w:rFonts w:ascii="Times New Roman" w:cs="Times New Roman" w:eastAsia="Times New Roman" w:hAnsi="Times New Roman"/>
            <w:color w:val="1155CC"/>
            <w:sz w:val="22"/>
            <w:szCs w:val="22"/>
            <w:u w:val="single"/>
          </w:rPr>
          <w:t xml:space="preserve">Wikipedia — Neurocognitive disorder (DSM-5, classifications, traitements)</w:t>
        </w:r>
      </w:hyperlink>
    </w:p>
    <w:p>
      <w:pPr>
        <w:pStyle w:val="ListParagraph"/>
        <w:numPr>
          <w:ilvl w:val="0"/>
          <w:numId w:val="1"/>
        </w:numPr>
        <w:spacing w:after="40" w:before="40"/>
      </w:pPr>
      <w:hyperlink w:history="1" r:id="rId3tmp3cqufp4z2wals_zrh">
        <w:r>
          <w:rPr>
            <w:rFonts w:ascii="Times New Roman" w:cs="Times New Roman" w:eastAsia="Times New Roman" w:hAnsi="Times New Roman"/>
            <w:color w:val="1155CC"/>
            <w:sz w:val="22"/>
            <w:szCs w:val="22"/>
            <w:u w:val="single"/>
          </w:rPr>
          <w:t xml:space="preserve">Merck Manual — Overview of Delirium and Dementia (tableau comparatif clinique)</w:t>
        </w:r>
      </w:hyperlink>
    </w:p>
    <w:p>
      <w:pPr>
        <w:pStyle w:val="ListParagraph"/>
        <w:numPr>
          <w:ilvl w:val="0"/>
          <w:numId w:val="1"/>
        </w:numPr>
        <w:spacing w:after="40" w:before="40"/>
      </w:pPr>
      <w:hyperlink w:history="1" r:id="rIdjnnlyb7p8kdnjwkrwwgap">
        <w:r>
          <w:rPr>
            <w:rFonts w:ascii="Times New Roman" w:cs="Times New Roman" w:eastAsia="Times New Roman" w:hAnsi="Times New Roman"/>
            <w:color w:val="1155CC"/>
            <w:sz w:val="22"/>
            <w:szCs w:val="22"/>
            <w:u w:val="single"/>
          </w:rPr>
          <w:t xml:space="preserve">Psychomédia — Critères diagnostiques DSM-5 TNC majeur</w:t>
        </w:r>
      </w:hyperlink>
    </w:p>
    <w:p>
      <w:pPr>
        <w:pStyle w:val="ListParagraph"/>
        <w:numPr>
          <w:ilvl w:val="0"/>
          <w:numId w:val="1"/>
        </w:numPr>
        <w:spacing w:after="40" w:before="40"/>
      </w:pPr>
      <w:hyperlink w:history="1" r:id="rIdsq2f-mvyatqzq2ayp5k1r">
        <w:r>
          <w:rPr>
            <w:rFonts w:ascii="Times New Roman" w:cs="Times New Roman" w:eastAsia="Times New Roman" w:hAnsi="Times New Roman"/>
            <w:color w:val="1155CC"/>
            <w:sz w:val="22"/>
            <w:szCs w:val="22"/>
            <w:u w:val="single"/>
          </w:rPr>
          <w:t xml:space="preserve">MedG — Démence vasculaire : clinique, critères NINDS-AIREN, prise en charge</w:t>
        </w:r>
      </w:hyperlink>
    </w:p>
    <w:p>
      <w:pPr>
        <w:pStyle w:val="ListParagraph"/>
        <w:numPr>
          <w:ilvl w:val="0"/>
          <w:numId w:val="1"/>
        </w:numPr>
        <w:spacing w:after="40" w:before="40"/>
      </w:pPr>
      <w:hyperlink w:history="1" r:id="rIdgvd-k1chzz53sfdftn3yk">
        <w:r>
          <w:rPr>
            <w:rFonts w:ascii="Times New Roman" w:cs="Times New Roman" w:eastAsia="Times New Roman" w:hAnsi="Times New Roman"/>
            <w:color w:val="1155CC"/>
            <w:sz w:val="22"/>
            <w:szCs w:val="22"/>
            <w:u w:val="single"/>
          </w:rPr>
          <w:t xml:space="preserve">Psycom — La santé mentale en vieillissant (facteurs de risque et protecteurs)</w:t>
        </w:r>
      </w:hyperlink>
    </w:p>
    <w:p>
      <w:pPr>
        <w:pStyle w:val="ListParagraph"/>
        <w:numPr>
          <w:ilvl w:val="0"/>
          <w:numId w:val="1"/>
        </w:numPr>
        <w:spacing w:after="40" w:before="40"/>
      </w:pPr>
      <w:hyperlink w:history="1" r:id="rIdzml-4mrct-auye0r75nxd">
        <w:r>
          <w:rPr>
            <w:rFonts w:ascii="Times New Roman" w:cs="Times New Roman" w:eastAsia="Times New Roman" w:hAnsi="Times New Roman"/>
            <w:color w:val="1155CC"/>
            <w:sz w:val="22"/>
            <w:szCs w:val="22"/>
            <w:u w:val="single"/>
          </w:rPr>
          <w:t xml:space="preserve">HAS — Maladie d'Alzheimer : panorama des recommandations</w:t>
        </w:r>
      </w:hyperlink>
    </w:p>
    <w:p>
      <w:pPr>
        <w:pStyle w:val="ListParagraph"/>
        <w:numPr>
          <w:ilvl w:val="0"/>
          <w:numId w:val="1"/>
        </w:numPr>
        <w:spacing w:after="40" w:before="40"/>
      </w:pPr>
      <w:hyperlink w:history="1" r:id="rIdodowsruelqz4b3kvkhs29">
        <w:r>
          <w:rPr>
            <w:rFonts w:ascii="Times New Roman" w:cs="Times New Roman" w:eastAsia="Times New Roman" w:hAnsi="Times New Roman"/>
            <w:color w:val="1155CC"/>
            <w:sz w:val="22"/>
            <w:szCs w:val="22"/>
            <w:u w:val="single"/>
          </w:rPr>
          <w:t xml:space="preserve">HAS — RBPP Accompagnement en ESSMS : personnes atteintes d'une maladie d'Alzheimer ou apparentée (mars 2018)</w:t>
        </w:r>
      </w:hyperlink>
    </w:p>
    <w:p>
      <w:pPr>
        <w:pStyle w:val="ListParagraph"/>
        <w:numPr>
          <w:ilvl w:val="0"/>
          <w:numId w:val="1"/>
        </w:numPr>
        <w:spacing w:after="40" w:before="40"/>
      </w:pPr>
      <w:hyperlink w:history="1" r:id="rIdbkgon66c2l7nzaqs36yvl">
        <w:r>
          <w:rPr>
            <w:rFonts w:ascii="Times New Roman" w:cs="Times New Roman" w:eastAsia="Times New Roman" w:hAnsi="Times New Roman"/>
            <w:color w:val="1155CC"/>
            <w:sz w:val="22"/>
            <w:szCs w:val="22"/>
            <w:u w:val="single"/>
          </w:rPr>
          <w:t xml:space="preserve">HAS — Alzheimer : tous les travaux de la HAS</w:t>
        </w:r>
      </w:hyperlink>
    </w:p>
    <w:p>
      <w:pPr>
        <w:spacing w:after="120" w:before="120"/>
      </w:pPr>
      <w:r>
        <w:rPr>
          <w:rFonts w:ascii="Times New Roman" w:cs="Times New Roman" w:eastAsia="Times New Roman" w:hAnsi="Times New Roman"/>
          <w:color w:val="CCCCCC"/>
          <w:sz w:val="20"/>
          <w:szCs w:val="20"/>
        </w:rPr>
        <w:t xml:space="preserve">────────────────────────────────────────────────────────────</w:t>
      </w:r>
    </w:p>
    <w:p>
      <w:pPr>
        <w:pStyle w:val="Heading2"/>
        <w:spacing w:after="120" w:before="320"/>
      </w:pPr>
      <w:r>
        <w:rPr>
          <w:rFonts w:ascii="Times New Roman" w:cs="Times New Roman" w:eastAsia="Times New Roman" w:hAnsi="Times New Roman"/>
          <w:b/>
          <w:bCs/>
          <w:color w:val="1B3A6B"/>
          <w:sz w:val="30"/>
          <w:szCs w:val="30"/>
        </w:rPr>
        <w:t xml:space="preserve">🔜 Prochaine leçon — Leçon 14 / 20</w:t>
      </w:r>
    </w:p>
    <w:p>
      <w:pPr>
        <w:spacing w:after="60" w:before="60"/>
        <w:ind/>
      </w:pPr>
      <w:r>
        <w:rPr>
          <w:rFonts w:ascii="Times New Roman" w:cs="Times New Roman" w:eastAsia="Times New Roman" w:hAnsi="Times New Roman"/>
          <w:b/>
          <w:bCs/>
          <w:i w:val="false"/>
          <w:iCs w:val="false"/>
          <w:color w:val="1F2937"/>
          <w:sz w:val="22"/>
          <w:szCs w:val="22"/>
        </w:rPr>
        <w:t xml:space="preserve">Leçon 14 : Les troubles du sommeil et leurs interactions psychiatriques</w:t>
      </w:r>
    </w:p>
    <w:p>
      <w:pPr>
        <w:spacing w:after="60" w:before="60"/>
        <w:ind/>
      </w:pPr>
      <w:r>
        <w:rPr>
          <w:rFonts w:ascii="Times New Roman" w:cs="Times New Roman" w:eastAsia="Times New Roman" w:hAnsi="Times New Roman"/>
          <w:b w:val="false"/>
          <w:bCs w:val="false"/>
          <w:i w:val="false"/>
          <w:iCs w:val="false"/>
          <w:color w:val="1F2937"/>
          <w:sz w:val="22"/>
          <w:szCs w:val="22"/>
        </w:rPr>
        <w:t xml:space="preserve">Nous explorerons les principales catégories de troubles du sommeil (insomnies, hypersomnies, parasomnies, troubles du rythme circadien), leurs liens bidirectionnels avec les troubles psychiatriques (dépression, anxiété, psychose, TSPT) et les approches non médicamenteuses validées (thérapie cognitive-comportementale pour l'insomnie, TCC-I). Les vignettes intégreront des situations fréquentes en ESSMS (troubles du sommeil chez les personnes avec handicap psychique, effets des psychotropes).</w:t>
      </w:r>
    </w:p>
    <w:p>
      <w:pPr>
        <w:spacing w:after="120" w:before="120"/>
      </w:pPr>
      <w:r>
        <w:rPr>
          <w:rFonts w:ascii="Times New Roman" w:cs="Times New Roman" w:eastAsia="Times New Roman" w:hAnsi="Times New Roman"/>
          <w:color w:val="CCCCCC"/>
          <w:sz w:val="20"/>
          <w:szCs w:val="20"/>
        </w:rPr>
        <w:t xml:space="preserve">────────────────────────────────────────────────────────────</w:t>
      </w:r>
    </w:p>
    <w:p>
      <w:pPr>
        <w:spacing w:after="60" w:before="60"/>
        <w:ind/>
      </w:pPr>
      <w:r>
        <w:rPr>
          <w:rFonts w:ascii="Times New Roman" w:cs="Times New Roman" w:eastAsia="Times New Roman" w:hAnsi="Times New Roman"/>
          <w:b w:val="false"/>
          <w:bCs w:val="false"/>
          <w:i/>
          <w:iCs/>
          <w:color w:val="999999"/>
          <w:sz w:val="22"/>
          <w:szCs w:val="22"/>
        </w:rPr>
        <w:t xml:space="preserve">Document généré le 31/08/2026 — Leçon 13 / 20 — Parcours Psychopathologie clinique</w:t>
      </w:r>
    </w:p>
    <w:p>
      <w:pPr>
        <w:spacing w:after="120" w:before="300"/>
      </w:pPr>
      <w:r>
        <w:rPr>
          <w:rFonts w:ascii="Calibri" w:cs="Calibri" w:eastAsia="Calibri" w:hAnsi="Calibri"/>
          <w:b/>
          <w:bCs/>
          <w:color w:val="1B3A6B"/>
          <w:sz w:val="28"/>
          <w:szCs w:val="28"/>
        </w:rPr>
        <w:t xml:space="preserve">📝 Journal des corrections</w:t>
      </w:r>
    </w:p>
    <w:p>
      <w:pPr>
        <w:spacing w:after="80" w:before="80"/>
      </w:pPr>
      <w:r>
        <w:rPr>
          <w:rFonts w:ascii="Calibri" w:cs="Calibri" w:eastAsia="Calibri" w:hAnsi="Calibri"/>
          <w:color w:val="1F2937"/>
          <w:sz w:val="22"/>
          <w:szCs w:val="22"/>
        </w:rPr>
        <w:t xml:space="preserve">Leçon produite et relue le 31/08/2026. Les corrections sont fondues dans le texte ci-dessus ; les formulations d'origine sont conservées ici.</w:t>
      </w:r>
    </w:p>
    <w:p>
      <w:pPr>
        <w:spacing w:after="80" w:before="80"/>
      </w:pPr>
      <w:r>
        <w:rPr>
          <w:rFonts w:ascii="Calibri" w:cs="Calibri" w:eastAsia="Calibri" w:hAnsi="Calibri"/>
          <w:color w:val="1F2937"/>
          <w:sz w:val="22"/>
          <w:szCs w:val="22"/>
        </w:rPr>
        <w:t xml:space="preserve">1. Vignette C — la DFT était citée à contresens.</w:t>
      </w:r>
    </w:p>
    <w:p>
      <w:pPr>
        <w:spacing w:after="80" w:before="80"/>
      </w:pPr>
      <w:r>
        <w:rPr>
          <w:rFonts w:ascii="Calibri" w:cs="Calibri" w:eastAsia="Calibri" w:hAnsi="Calibri"/>
          <w:color w:val="1F2937"/>
          <w:sz w:val="22"/>
          <w:szCs w:val="22"/>
        </w:rPr>
        <w:t xml:space="preserve">Version initiale : « Mémoire intacte → TNC à dominante visuospatiale, évocateur de corps de Lewy ou de DFT ou d'atteinte pariétale. » Or la section 3 de cette même leçon définit la dégénérescence frontotemporale par la désinhibition comportementale et les troubles du langage précoces, avec une atteinte TARDIVE de la mémoire — et la vignette E lui attribue correctement un profil de désinhibition. Dans la DFT, les capacités visuo-spatiales sont au contraire relativement préservées : c'est un argument différentiel, pas un argument en faveur. La réponse attendue devant un tableau visuospatial pur à mémoire épargnée est l'ATROPHIE CORTICALE POSTÉRIEURE, variante visuelle de la maladie d'Alzheimer, qui n'apparaissait nulle part dans la leçon. Elle a été ajoutée, et la mention de la DFT remplacée par la raison de l'écarter.</w:t>
      </w:r>
    </w:p>
    <w:p>
      <w:pPr>
        <w:spacing w:after="80" w:before="80"/>
      </w:pPr>
      <w:r>
        <w:rPr>
          <w:rFonts w:ascii="Calibri" w:cs="Calibri" w:eastAsia="Calibri" w:hAnsi="Calibri"/>
          <w:color w:val="1F2937"/>
          <w:sz w:val="22"/>
          <w:szCs w:val="22"/>
        </w:rPr>
        <w:t xml:space="preserve">2. Vignette F — les hallucinations classées dans le mauvais domaine.</w:t>
      </w:r>
    </w:p>
    <w:p>
      <w:pPr>
        <w:spacing w:after="80" w:before="80"/>
      </w:pPr>
      <w:r>
        <w:rPr>
          <w:rFonts w:ascii="Calibri" w:cs="Calibri" w:eastAsia="Calibri" w:hAnsi="Calibri"/>
          <w:color w:val="1F2937"/>
          <w:sz w:val="22"/>
          <w:szCs w:val="22"/>
        </w:rPr>
        <w:t xml:space="preserve">Version initiale : « Les domaines atteints : Attention (fluctuations), Cognition perceptivo-motrice (chutes), Cognition sociale (hallucinations). » Le tableau des six domaines, qui est l'outil central de la leçon, définit la cognition sociale comme la reconnaissance des émotions, la théorie de l'esprit et le comportement social. Une hallucination visuelle est un trouble de la PERCEPTION : elle relève de la cognition perceptivo-motrice. Et les chutes ne sont pas un domaine cognitif : elles relèvent du syndrome parkinsonien associé à la démence à corps de Lewy. Le corrigé a été repris pour s'en tenir à la grille.</w:t>
      </w:r>
    </w:p>
    <w:p>
      <w:pPr>
        <w:spacing w:after="80" w:before="80"/>
      </w:pPr>
      <w:r>
        <w:rPr>
          <w:rFonts w:ascii="Calibri" w:cs="Calibri" w:eastAsia="Calibri" w:hAnsi="Calibri"/>
          <w:color w:val="1F2937"/>
          <w:sz w:val="22"/>
          <w:szCs w:val="22"/>
        </w:rPr>
        <w:t xml:space="preserve">3. Datation de la recommandation citée dans le pont professionnel.</w:t>
      </w:r>
    </w:p>
    <w:p>
      <w:pPr>
        <w:spacing w:after="80" w:before="80"/>
      </w:pPr>
      <w:r>
        <w:rPr>
          <w:rFonts w:ascii="Calibri" w:cs="Calibri" w:eastAsia="Calibri" w:hAnsi="Calibri"/>
          <w:color w:val="1F2937"/>
          <w:sz w:val="22"/>
          <w:szCs w:val="22"/>
        </w:rPr>
        <w:t xml:space="preserve">Version initiale : « La RBPP HAS “Accompagnement des personnes atteintes d'une maladie d'Alzheimer ou apparentée en établissement médico-social” (mars 2018) ». Vérifié le 31/08/2026 sur la page HAS citée en ressources : le texte a été publié par l'ANESM le 2 février 2009, dans le cadre du plan Alzheimer 2008-2012 ; mars 2018 est la date de reprise par la HAS lors du transfert des travaux de l'ANESM. La recommandation reste applicable et maintenue, mais les deux dates doivent figurer : « mars 2018 » seul laisse croire à un texte récent alors que le contenu a dix-sept ans. Nommer une recommandation ne suffit pas — il faut la dater juste.</w:t>
      </w:r>
    </w:p>
    <w:p>
      <w:pPr>
        <w:spacing w:after="80" w:before="80"/>
      </w:pPr>
      <w:r>
        <w:rPr>
          <w:rFonts w:ascii="Calibri" w:cs="Calibri" w:eastAsia="Calibri" w:hAnsi="Calibri"/>
          <w:color w:val="1F2937"/>
          <w:sz w:val="22"/>
          <w:szCs w:val="22"/>
        </w:rPr>
        <w:t xml:space="preserve">Vérifié lors de la relecture et inchangé : les trois catégories du DSM-5 et le remplacement de « démence » par « trouble neurocognitif » ; les six domaines cognitifs et leurs observables ; les cinq sous-types étiologiques et leurs marqueurs distinctifs ; le tableau de distinction délirium / TNC majeur ; la catégorie F06.7 de la CIM-10 et la convergence de la CIM-11 vers le DSM-5 ; le vieillissement précoce documenté dans la trisomie 21 ; les trois stades de l'exercice 3 ; et les trois URL HAS des ressources, testées ce jour (statut 200). Le point déontologique de la partie B du challenge — évaluer le déclin par rapport au fonctionnement ANTÉRIEUR de la personne et non à une norme populationnelle — est le passage le plus important de la leçon et n'a pas été touché.</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mqvlrrmifa-ijeex3qo_" Type="http://schemas.openxmlformats.org/officeDocument/2006/relationships/hyperlink" Target="https://en.wikipedia.org/wiki/Neurocognitive_disorder" TargetMode="External"/><Relationship Id="rId3tmp3cqufp4z2wals_zrh" Type="http://schemas.openxmlformats.org/officeDocument/2006/relationships/hyperlink" Target="https://www.merckmanuals.com/professional/neurologic-disorders/delirium-and-dementia/overview-of-delirium-and-dementia" TargetMode="External"/><Relationship Id="rIdjnnlyb7p8kdnjwkrwwgap" Type="http://schemas.openxmlformats.org/officeDocument/2006/relationships/hyperlink" Target="https://www.psychomedia.qc.ca/dsm-5/2015-08-17/criteres-diagnostiques-demence-trouble-neurocognitif-majeur" TargetMode="External"/><Relationship Id="rIdsq2f-mvyatqzq2ayp5k1r" Type="http://schemas.openxmlformats.org/officeDocument/2006/relationships/hyperlink" Target="https://www.medg.fr/demence-vasculaire/" TargetMode="External"/><Relationship Id="rIdgvd-k1chzz53sfdftn3yk" Type="http://schemas.openxmlformats.org/officeDocument/2006/relationships/hyperlink" Target="https://www.psycom.org/sinformer/la-sante-mentale/la-sante-mentale-en-vieillissant/" TargetMode="External"/><Relationship Id="rIdzml-4mrct-auye0r75nxd" Type="http://schemas.openxmlformats.org/officeDocument/2006/relationships/hyperlink" Target="https://www.has-sante.fr/jcms/p_3058411/fr/maladie-d-alzheimer" TargetMode="External"/><Relationship Id="rIdodowsruelqz4b3kvkhs29" Type="http://schemas.openxmlformats.org/officeDocument/2006/relationships/hyperlink" Target="https://www.has-sante.fr/jcms/c_2835247/fr/l-accompagnement-des-personnes-atteintes-d-une-maladie-d-alzheimer-ou-apparentee-en-etablissement-medico-social" TargetMode="External"/><Relationship Id="rIdbkgon66c2l7nzaqs36yvl" Type="http://schemas.openxmlformats.org/officeDocument/2006/relationships/hyperlink" Target="https://www.has-sante.fr/jcms/c_2851666/fr/alzheimer-les-travaux-de-la-has"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2026-08-31T06:09:16.857Z</dcterms:created>
  <dcterms:modified xsi:type="dcterms:W3CDTF">2026-08-31T06:09:16.873Z</dcterms:modified>
</cp:coreProperties>
</file>

<file path=docProps/custom.xml><?xml version="1.0" encoding="utf-8"?>
<Properties xmlns="http://schemas.openxmlformats.org/officeDocument/2006/custom-properties" xmlns:vt="http://schemas.openxmlformats.org/officeDocument/2006/docPropsVTypes"/>
</file>