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RGPD — Compte-rendu quotidien</w:t>
      </w:r>
    </w:p>
    <w:p>
      <w:pPr>
        <w:spacing w:after="60" w:before="4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2026-06-13  •  Règlement UE 2016/679 (RGPD) &amp; loi Informatique et Libertés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/>
          <w:bCs/>
          <w:color w:val="D97706"/>
          <w:sz w:val="24"/>
          <w:szCs w:val="24"/>
        </w:rPr>
        <w:t xml:space="preserve">🟡 Niveau d'alerte du jour : À SURVEILLER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Mode : CR COMPLET  •  Sources consultées : 6/7 ✅  •  village-justice.com ⛔</w:t>
      </w:r>
    </w:p>
    <w:p>
      <w:pPr>
        <w:spacing w:after="120" w:before="120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Faits marquants du jour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🆕 EDPB — Template commun de notification de violations de données adopté (10/06) : modèle standardisé art. 33 RGPD, consultation publique ouverte jusqu'au 5 août 2026.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🆕 EDPB — Extension du Comité de supervision coordonnée (CSC) à Eurodac (12/06) : élargissement du périmètre de supervision aux données biométriques des demandeurs d'asile.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🆕 CNIL — Guide sur les communications électroniques aux prospects (10/06) : règles de base légale (consentement préalable vs intérêt légitime) pour emails et SMS clients/prospects.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IQVIA Operations France sanctionnée 5 M€ par la CNIL (28/05) : réutilisation insuffisamment transparente de données de santé — impact direct sur les prestataires manipulant des données usagers.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Bilan 8 ans RGPD : 7,1 Md€ d'amendes toutes autorités UE (dont 40 % en appel). CNIL France : 649 M€ recouvrés, +343 % de contrôles depuis 2017.</w:t>
      </w:r>
    </w:p>
    <w:p>
      <w:pPr>
        <w:spacing w:after="120" w:before="120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⚖️ Sanctions &amp; jurisprudence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IQVIA Operations France — CNIL — 5 M€ (28 mai 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Motif : réutilisation de données de santé de patients sans information suffisante, absence de garanties adaptées au risque.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Enseignement : le responsable de traitement répond des conditions de traitement de ses sous-traitants. Toute réutilisation de données santé hors finalité initiale sans information préalable engage la responsabilité.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FREE MOBILE + FREE — CNIL — 42 M€ (27 + 15 M€, 13 jan. 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Motif : faille de sécurité (24 M comptes exposés), défaut de notification dans les 72h, durées de rétention excessives.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Enseignement : l'obligation de notification immédiate en cas de violation de données (art. 33-34 RGPD) est non négociable.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Finlande — Annulation d'une amende RGPD de 1,1 M€ contre un organisme public (2 juin 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Rappel art. 83(7) RGPD : les États membres peuvent exempter les organismes publics de sanctions pécuniaires — mais pas d'injonctions correctives.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Enseignement pour ESSMS : même en cas d'exemption de sanction financière, les injonctions de mise en conformité s'appliquent et peuvent être contraignantes.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Irlande — High Court valide l'enquête DPC sur Meta (juin 2026, jusqu'à 430 M€ potentiels)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Confirmation qu'une seule plainte peut déclencher une enquête systémique sur des pratiques structurelles.</w:t>
      </w:r>
    </w:p>
    <w:p>
      <w:pPr>
        <w:spacing w:after="120" w:before="120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🏛️ Doctrine &amp; lignes directrices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EDPB — Template commun notification de violations de données (10 juin 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L'EDPB a adopté un modèle standardisé de notification des violations de données (art. 33 RGPD) pour harmoniser les pratiques entre États membres de l'UE.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Consultation publique ouverte jusqu'au 5 août 2026. Date à intégrer dans le calendrier de conformité.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Action attendue : vérifier que la procédure interne de notification (72h, registre violations, chaîne DPO) est opérationnelle et préparer l'adaptation au template EDPB.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mdpinjodkpktvs8yrnju_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EDPB — Communiqué officiel (10/06/2026)</w:t>
        </w:r>
      </w:hyperlink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EDPB — Extension CSC à Eurodac (12 juin 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 Comité de supervision coordonnée (CSC) élargit son périmètre au système Eurodac (données biométriques des demandeurs d'asile).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Impact indirect ESSMS : renforcement général de la supervision des systèmes d'information traitant des données sensibles — signal pour les DUI hébergés et les échanges partenariaux.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twdm7x6wxqwyttthbwjn-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EDPB — CSC Eurodac (12/06/2026)</w:t>
        </w:r>
      </w:hyperlink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CNIL — Guide communications électroniques aux prospects (10 juin 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CNIL clarifie les règles applicables aux communications commerciales : distinction entre consentement préalable (email prospects non-clients) et intérêt légitime (email clients dans la relation contractuelle).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Pertinent pour les ESSMS qui envoient des communications aux familles, aidants ou partenaires.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2lbhzietkkv7ub8hmxxdo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 — Communication électronique aux prospects (10/06/2026)</w:t>
        </w:r>
      </w:hyperlink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EDPS — Débat "From Omnibus to Opportunity" (8 juin 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EDPS, BfDI et BayLfD interrogent l'impact des propositions Omnibus de la Commission européenne sur les obligations RGPD (dont AIPD).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Risque identifié : allègements potentiels du régime d'obligation d'AIPD pour certains traitements — à surveiller pour adapter la démarche qualité.</w:t>
      </w:r>
    </w:p>
    <w:p>
      <w:pPr>
        <w:spacing w:after="120" w:before="120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🏥 Focus santé / médico-social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CNIL × HAS — Partenariat numérique en santé (11 mars 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CNIL et la HAS s'engagent conjointement pour renforcer les bonnes pratiques de protection des données dans le numérique en santé.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Convergence des deux référentiels à suivre de près : évaluation HAS et conformité RGPD seront de plus en plus interconnectées.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grhmphejp5_-jhtgcdxge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CNIL-HAS — Engagement numérique en santé</w:t>
        </w:r>
      </w:hyperlink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MR-001 et MR-003 — Mise à jour CNIL (26 mai 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Extension du champ des méthodologies de référence pour la recherche en santé. Impact : les établissements menant des études internes (évaluation de pratiques, suivi thérapeutique) doivent vérifier leur conformité.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ucpw7yrkfx5_e1ajq4w3v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 — Mise à jour MR-001/MR-003 (26/05/2026)</w:t>
        </w:r>
      </w:hyperlink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Italie — Garante bloque plugin IA d'analyse du stress au travail (30 mai 2026)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Blocage d'outils d'inférence d'émotions sur les communications des salariés — RGPD (données de santé art. 9) + AI Act combinés.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Signal fort pour le secteur : tout outil d'IA RH mesurant des indicateurs de bien-être ou d'engagement relève des données de santé et nécessite une AIPD + base légale adaptée.</w:t>
      </w:r>
    </w:p>
    <w:p>
      <w:pPr>
        <w:spacing w:after="120" w:before="120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Impacts pour les ESSMS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Points de vigilance concrets pour un foyer d'hébergement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DUI et sous-traitants HDS — La sanction IQVIA rappelle : exiger contractuellement des garanties auprès de tout prestataire traitant des données usagers (Imago, hébergeur HDS, logiciels métier). Mettre à jour les clauses sous-traitance dans le registre des traitements.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Notification de violations (72h) — Anticiper l'adoption du template EDPB (consultation jusqu'au 5 août) : s'assurer que la chaîne d'alerte interne (équipe → direction → DPO → CNIL) est documentée et testée.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Communications aux familles/partenaires — Le guide CNIL prospects (10/06) s'applique : distinguer la base légale selon le type de destinataire (famille dans le cadre contractuel vs prospect). Documenter les bases légales dans le registre.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Droits d'accès et rectification des personnes accompagnées — La jurisprudence CJUE C-526/24 (déjà citée) renforce l'obligation de réponse documentée. Vérifier la procédure de traitement des demandes RGPD dans le DUI.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Registre des traitements — Guide CNIL cloud (28/05) : qualifier explicitement le rôle (responsable de traitement / co-responsable / sous-traitant) pour chaque outil SaaS utilisé.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IA RH — Signal Garante Italie : tout outil évaluant le bien-être ou les émotions des salariés nécessite AIPD. Applicable si l'établissement envisage des outils d'analyse QVT numériques.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Partenariat CNIL × HAS — Préparer la convergence évaluation HAS / conformité RGPD dans la démarche qualité 2026.</w:t>
      </w:r>
    </w:p>
    <w:p>
      <w:pPr>
        <w:spacing w:after="120" w:before="120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 du jour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6uqav0m3t1lheribm7b7x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 — Actualités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 ✅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eqsyaie9v-wwtza4lugwp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CNIL — Santé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 ✅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obsbvcdob1n-jundmmnc-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EDPB — News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 ✅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0wutlw1awnndpiqh862d8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EDPS — News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 ✅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gvgnp4osjx0fko4pbvs-n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donneespersonnelles.fr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  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village-justice.com  ⛔  (404 — rendu JS côté client)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WebSearch CNIL + RGPD actualité juin 2026  ✅</w:t>
      </w:r>
    </w:p>
    <w:p>
      <w:pPr>
        <w:spacing w:after="120" w:before="120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🔜 À surveiller demain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5 août 2026 — Fin de consultation EDPB template notification violations (art. 33 RGPD) : préparer la contribution ou l'adaptation interne.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23-26 juin 2026 — G7 Data Protection Authorities à Paris (présidence CNIL) : orientations internationales à surveiller.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24 juin 2026 — Privacy Research Day CNIL (cadre G7).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Propositions Omnibus CE : suivi de l'évolution du RGPD (risque d'allégement AIPD), débat EDPS en cours.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Enquête DPC / Meta (Irlande) : décision potentielle jusqu'à 430 M€ — jurisprudence à suivre sur les pratiques structurelles.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EDPB — Décision NOYB Belgique (plaintes cookies représentatives) : clarification attendue sur la recevabilité des plaintes associatives.</w:t>
      </w:r>
    </w:p>
    <w:p>
      <w:pPr>
        <w:spacing w:after="120" w:before="120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60"/>
        <w:jc w:val="center"/>
      </w:pPr>
      <w:r>
        <w:rPr>
          <w:rFonts w:ascii="Calibri" w:cs="Calibri" w:eastAsia="Calibri" w:hAnsi="Calibri"/>
          <w:color w:val="9CA3AF"/>
          <w:sz w:val="18"/>
          <w:szCs w:val="18"/>
        </w:rPr>
        <w:t xml:space="preserve">Produit le 2026-06-13  •  Job rgpd-veille (Claude_Travail)  •  Sources : 6/7 ✅  •  village-justice.com 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dpinjodkpktvs8yrnju_" Type="http://schemas.openxmlformats.org/officeDocument/2006/relationships/hyperlink" Target="https://www.edpb.europa.eu/news/news/2026/edpb-meets-eu-commissioner-mcgrath-and-adopts-common-data-breach-notification_en" TargetMode="External"/><Relationship Id="rIdtwdm7x6wxqwyttthbwjn-" Type="http://schemas.openxmlformats.org/officeDocument/2006/relationships/hyperlink" Target="https://www.edpb.europa.eu/news/news/2026/coordinated-supervision-committee-extends-scope-include-eurodac_en" TargetMode="External"/><Relationship Id="rId2lbhzietkkv7ub8hmxxdo" Type="http://schemas.openxmlformats.org/officeDocument/2006/relationships/hyperlink" Target="https://www.cnil.fr/fr/communication-electronique-quelles-regles" TargetMode="External"/><Relationship Id="rIdgrhmphejp5_-jhtgcdxge" Type="http://schemas.openxmlformats.org/officeDocument/2006/relationships/hyperlink" Target="https://www.cnil.fr/fr/numerique-en-sante-la-cnil-et-la-has-sengagent" TargetMode="External"/><Relationship Id="rIducpw7yrkfx5_e1ajq4w3v" Type="http://schemas.openxmlformats.org/officeDocument/2006/relationships/hyperlink" Target="https://www.cnil.fr/fr/recherche-en-sante-la-cnil-met-jour-et-elargit-le-champ-des-methodologies-de-reference-001-et-003" TargetMode="External"/><Relationship Id="rId6uqav0m3t1lheribm7b7x" Type="http://schemas.openxmlformats.org/officeDocument/2006/relationships/hyperlink" Target="https://www.cnil.fr/fr/actualites" TargetMode="External"/><Relationship Id="rIdeqsyaie9v-wwtza4lugwp" Type="http://schemas.openxmlformats.org/officeDocument/2006/relationships/hyperlink" Target="https://www.cnil.fr/fr/sante" TargetMode="External"/><Relationship Id="rIdobsbvcdob1n-jundmmnc-" Type="http://schemas.openxmlformats.org/officeDocument/2006/relationships/hyperlink" Target="https://www.edpb.europa.eu/news/news_en" TargetMode="External"/><Relationship Id="rId0wutlw1awnndpiqh862d8" Type="http://schemas.openxmlformats.org/officeDocument/2006/relationships/hyperlink" Target="https://www.edps.europa.eu/press-publications/press-news/news_en" TargetMode="External"/><Relationship Id="rIdgvgnp4osjx0fko4pbvs-n" Type="http://schemas.openxmlformats.org/officeDocument/2006/relationships/hyperlink" Target="https://www.donneespersonnelles.fr/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2026-06-13T05:37:21.044Z</dcterms:created>
  <dcterms:modified xsi:type="dcterms:W3CDTF">2026-06-13T05:37:21.230Z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