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Ennéagramme n°09</w:t>
      </w:r>
    </w:p>
    <w:p>
      <w:pPr>
        <w:pStyle w:val="Heading1"/>
        <w:spacing w:after="160" w:before="200"/>
        <w:jc w:val="center"/>
      </w:pPr>
      <w:r>
        <w:rPr>
          <w:rFonts w:ascii="Times New Roman" w:cs="Times New Roman" w:eastAsia="Times New Roman" w:hAnsi="Times New Roman"/>
          <w:b/>
          <w:bCs/>
          <w:color w:val="1B3A6B"/>
          <w:sz w:val="52"/>
          <w:szCs w:val="52"/>
        </w:rPr>
        <w:t xml:space="preserve">Le Type 7 : L'Épicurien / L'Enthousiaste</w:t>
      </w:r>
    </w:p>
    <w:p>
      <w:pPr>
        <w:spacing w:after="60" w:before="60"/>
      </w:pPr>
      <w:r>
        <w:rPr>
          <w:rFonts w:ascii="Times New Roman" w:cs="Times New Roman" w:eastAsia="Times New Roman" w:hAnsi="Times New Roman"/>
          <w:color w:val="1F2937"/>
          <w:sz w:val="22"/>
          <w:szCs w:val="22"/>
        </w:rPr>
        <w:t xml:space="preserve">Date : 29 juillet 2026</w:t>
      </w:r>
    </w:p>
    <w:p>
      <w:pPr>
        <w:spacing w:after="60" w:before="60"/>
      </w:pPr>
      <w:r>
        <w:rPr>
          <w:rFonts w:ascii="Times New Roman" w:cs="Times New Roman" w:eastAsia="Times New Roman" w:hAnsi="Times New Roman"/>
          <w:color w:val="1F2937"/>
          <w:sz w:val="22"/>
          <w:szCs w:val="22"/>
        </w:rPr>
        <w:t xml:space="preserve">Position dans le parcours : Module Exploration des Types — Leçon 09/16</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identifier les mécanismes profonds du Type 7 : sa fuite de la douleur via la gourmandise expérientielle, son mécanisme de défense par rationalisation/recadrage positif, et les conditions de sa croissance (la sobriété). Tu pourras commencer à observer ces patterns en toi-même ou chez autrui.</w:t>
      </w:r>
    </w:p>
    <w:p>
      <w:pPr>
        <w:spacing w:after="60" w:before="60"/>
      </w:pPr>
      <w:r>
        <w:rPr>
          <w:rFonts w:ascii="Times New Roman" w:cs="Times New Roman" w:eastAsia="Times New Roman" w:hAnsi="Times New Roman"/>
          <w:color w:val="1F2937"/>
          <w:sz w:val="22"/>
          <w:szCs w:val="22"/>
        </w:rPr>
        <w:t xml:space="preserve">Continuité : la leçon précédente (n°08) a exploré le Loyaliste (Type 6) et sa stratégie de gestion de l'anxiété par la recherche de soutien et de certitudes. Le Type 7 répond au même fond d'anxiété par une stratégie radicalement opposée : fuir dans la stimulation positive plutôt que chercher un ancrage sécurisant. Ces deux types forment une paire fascinante — tous deux appartiennent au centre Mental, mais gèrent la peur différemment.</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Théorie (20%) — Les fondamentaux du Type 7</w:t>
      </w:r>
    </w:p>
    <w:p>
      <w:pPr>
        <w:pStyle w:val="Heading3"/>
        <w:spacing w:after="80" w:before="200"/>
      </w:pPr>
      <w:r>
        <w:rPr>
          <w:rFonts w:ascii="Times New Roman" w:cs="Times New Roman" w:eastAsia="Times New Roman" w:hAnsi="Times New Roman"/>
          <w:b/>
          <w:bCs/>
          <w:color w:val="1F2937"/>
          <w:sz w:val="26"/>
          <w:szCs w:val="26"/>
        </w:rPr>
        <w:t xml:space="preserve">1. Portrait d'ensemble</w:t>
      </w:r>
    </w:p>
    <w:p>
      <w:pPr>
        <w:spacing w:after="60" w:before="60"/>
      </w:pPr>
      <w:r>
        <w:rPr>
          <w:rFonts w:ascii="Times New Roman" w:cs="Times New Roman" w:eastAsia="Times New Roman" w:hAnsi="Times New Roman"/>
          <w:color w:val="1F2937"/>
          <w:sz w:val="22"/>
          <w:szCs w:val="22"/>
        </w:rPr>
        <w:t xml:space="preserve">Le Type 7 est connu sous plusieurs noms selon les écoles : L'Enthousiaste (Riso-Hudson / Enneagram Institute), L'Épicurien — les deux noms figurent côte à côte dans le tableau des neuf types de la page Wikipedia listée ci-dessous, « Enthusiast, Epicure » —, L'Optimiste Opportuniste ou encore le Réaliste Joyeux. Ce même tableau donne « Planning » pour la fixation du type et « Idealism » pour son piège : le 7 est fondamentalement un planificateur de futurs enchanteurs, et c'est l'idéalisation qui l'y enferme.</w:t>
      </w:r>
      <w:r>
        <w:rPr>
          <w:rFonts w:ascii="Times New Roman" w:cs="Times New Roman" w:eastAsia="Times New Roman" w:hAnsi="Times New Roman"/>
          <w:i/>
          <w:iCs/>
          <w:color w:val="6B7280"/>
          <w:sz w:val="18"/>
          <w:szCs w:val="18"/>
        </w:rPr>
        <w:t xml:space="preserve"> [Corrigé le 09/10/2026 : trois attributions tombaient dans cette phrase. ① « L'Épicurien (Narrative Enneagram, approche Palmer) » : le mot « narrative » ne figure sur AUCUNE des six pages listées, et l'attribution était inutile — le tableau de la page Wikipedia listée donne les deux noms, « Enthusiast, Epicure ». ② « Dans la nomenclature de Claudio Naranjo, ce type incarne l'« idéalisme opportuniste » » : ni « opportunis… » ni « idealis… » ne se trouve sur aucune des six pages, pas même sur celle de Typology Central qui reproduit le texte de Naranjo sur la gourmandise ; le seul « Idealism » des pages est le PIÈGE du type 7 dans le tableau de Wikipedia, et il n'est pas de Naranjo. ③ « Oscar Ichazo nommait ce profil « Ego-Plan(ning) » » : « ego-plan » compte zéro occurrence sur les six pages ; la fixation y est nommée « Planning », sans préfixe et sans attribution à Ichazo]</w:t>
      </w:r>
    </w:p>
    <w:p>
      <w:pPr>
        <w:spacing w:after="60" w:before="60"/>
      </w:pPr>
      <w:r>
        <w:rPr>
          <w:rFonts w:ascii="Times New Roman" w:cs="Times New Roman" w:eastAsia="Times New Roman" w:hAnsi="Times New Roman"/>
          <w:color w:val="1F2937"/>
          <w:sz w:val="22"/>
          <w:szCs w:val="22"/>
        </w:rPr>
        <w:t xml:space="preserve">Extravertis, curieux, versatiles, charmeurs, enthousiastes — les Septième s'investissent souvent dans de multiples projets simultanément et possèdent une capacité remarquable à tisser des connexions entre des domaines variés. Ils représenteraient environ 9 % de la population selon Truity, sur la base d'une enquête auprès de plus de 54 000 personnes — ce qui en ferait le type le moins fréquent. ⚠️ À prendre avec prudence : ces estimations reposent sur des personnes ayant passé un test en ligne de leur propre initiative, et non sur un échantillon représentatif de la population ; d'autres jeux de données situent le type 7 plutôt autour de 13 à 14 %. Retiens l'ordre de grandeur, pas le chiffre exact.</w:t>
      </w:r>
    </w:p>
    <w:p>
      <w:pPr>
        <w:pStyle w:val="Heading3"/>
        <w:spacing w:after="80" w:before="200"/>
      </w:pPr>
      <w:r>
        <w:rPr>
          <w:rFonts w:ascii="Times New Roman" w:cs="Times New Roman" w:eastAsia="Times New Roman" w:hAnsi="Times New Roman"/>
          <w:b/>
          <w:bCs/>
          <w:color w:val="1F2937"/>
          <w:sz w:val="26"/>
          <w:szCs w:val="26"/>
        </w:rPr>
        <w:t xml:space="preserve">2. Structure psychologique centrale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pPr>
              <w:spacing w:after="60" w:before="60"/>
            </w:pPr>
            <w:r>
              <w:rPr>
                <w:rFonts w:ascii="Times New Roman" w:cs="Times New Roman" w:eastAsia="Times New Roman" w:hAnsi="Times New Roman"/>
                <w:b/>
                <w:bCs/>
                <w:color w:val="FFFFFF"/>
                <w:sz w:val="20"/>
                <w:szCs w:val="20"/>
              </w:rPr>
              <w:t xml:space="preserve">Dimension</w:t>
            </w:r>
          </w:p>
        </w:tc>
        <w:tc>
          <w:tcPr>
            <w:shd w:fill="1B3A6B" w:val="clear"/>
          </w:tcPr>
          <w:p>
            <w:pPr>
              <w:spacing w:after="60" w:before="60"/>
            </w:pPr>
            <w:r>
              <w:rPr>
                <w:rFonts w:ascii="Times New Roman" w:cs="Times New Roman" w:eastAsia="Times New Roman" w:hAnsi="Times New Roman"/>
                <w:b/>
                <w:bCs/>
                <w:color w:val="FFFFFF"/>
                <w:sz w:val="20"/>
                <w:szCs w:val="20"/>
              </w:rPr>
              <w:t xml:space="preserve">Contenu Type 7</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Désir fondamental</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Être satisfait, comblé — avoir ses besoins remplis (Riso-Hudson)</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Peur fondamentale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Être privé, souffrir du manque, être piégé dans la douleur</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Passion (vice)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La Gourmandise (Gluttony) — avidité expérientielle</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Vertu (antidote)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Sobriété / Tempérance — saveur du moment présent</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Fixation cognitive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La Planification — toujours anticiper, rebondir vers le futur</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Mécanisme de défense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Rationalisation / Recadrage positif (reframing)</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Idée sacrée (Holy Idea)</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Plan / Travail / Sagesse — la plénitude existe ici et maintenant</w:t>
            </w:r>
          </w:p>
        </w:tc>
      </w:tr>
    </w:tbl>
    <w:p>
      <w:pPr>
        <w:pStyle w:val="Heading3"/>
        <w:spacing w:after="80" w:before="200"/>
      </w:pPr>
      <w:r>
        <w:rPr>
          <w:rFonts w:ascii="Times New Roman" w:cs="Times New Roman" w:eastAsia="Times New Roman" w:hAnsi="Times New Roman"/>
          <w:b/>
          <w:bCs/>
          <w:color w:val="1F2937"/>
          <w:sz w:val="26"/>
          <w:szCs w:val="26"/>
        </w:rPr>
        <w:t xml:space="preserve">3. La passion de la Gourmandise</w:t>
      </w:r>
    </w:p>
    <w:p>
      <w:pPr>
        <w:spacing w:after="60" w:before="60"/>
      </w:pPr>
      <w:r>
        <w:rPr>
          <w:rFonts w:ascii="Times New Roman" w:cs="Times New Roman" w:eastAsia="Times New Roman" w:hAnsi="Times New Roman"/>
          <w:color w:val="1F2937"/>
          <w:sz w:val="22"/>
          <w:szCs w:val="22"/>
        </w:rPr>
        <w:t xml:space="preserve">La gourmandise du Type 7 ne se limite pas à la nourriture : elle est une avidité de vie au sens large. Elle se manifeste comme une avidité de consommer, d'absorber ce qui est plaisant — expériences, savoirs, projets, rencontres, plaisirs. Sur la page de Typology Central listée ci-dessous, qui reproduit le texte de Naranjo, la gourmandise entendue largement est « a passion for pleasure », et « hedonism is binding upon the psyche ». L'insatiabilité du Type 7 est d'autant plus complexe qu'elle est voilée par une apparente satisfaction : la frustration se cache derrière l'enthousiasme.</w:t>
      </w:r>
      <w:r>
        <w:rPr>
          <w:rFonts w:ascii="Times New Roman" w:cs="Times New Roman" w:eastAsia="Times New Roman" w:hAnsi="Times New Roman"/>
          <w:i/>
          <w:iCs/>
          <w:color w:val="6B7280"/>
          <w:sz w:val="18"/>
          <w:szCs w:val="18"/>
        </w:rPr>
        <w:t xml:space="preserve"> [Corrigé le 09/10/2026 : « un désir de consommer, d'absorber ce qui est plaisant » était donné entre guillemets et attribué à « la littérature sur ce type » — une source qui ne se vérifie pas, et la phrase n'est sur aucune des six pages. Les guillemets sont retirés et remplacés par deux formules réellement présentes sur la page de Typology Central, qui est listée mais dont le nom n'apparaissait nulle part dans le corps]</w:t>
      </w:r>
    </w:p>
    <w:p>
      <w:pPr>
        <w:spacing w:after="60" w:before="60"/>
      </w:pPr>
      <w:r>
        <w:rPr>
          <w:rFonts w:ascii="Times New Roman" w:cs="Times New Roman" w:eastAsia="Times New Roman" w:hAnsi="Times New Roman"/>
          <w:color w:val="1F2937"/>
          <w:sz w:val="22"/>
          <w:szCs w:val="22"/>
        </w:rPr>
        <w:t xml:space="preserve">Naranjo décrit cette passion comme une forme d'idéalisation permanente : l'anticipation du plaisir futur est souvent plus intense que le plaisir présent lui-même. Lorsque l'avenir projeté devient le présent vécu, la déception conduit à une nouvelle planification — reproduisant indéfiniment le cycle (synthèse de plusieurs sources sur le type 7).</w:t>
      </w:r>
    </w:p>
    <w:p>
      <w:pPr>
        <w:pStyle w:val="Heading3"/>
        <w:spacing w:after="80" w:before="200"/>
      </w:pPr>
      <w:r>
        <w:rPr>
          <w:rFonts w:ascii="Times New Roman" w:cs="Times New Roman" w:eastAsia="Times New Roman" w:hAnsi="Times New Roman"/>
          <w:b/>
          <w:bCs/>
          <w:color w:val="1F2937"/>
          <w:sz w:val="26"/>
          <w:szCs w:val="26"/>
        </w:rPr>
        <w:t xml:space="preserve">4. Le mécanisme de défense : Rationalisation et recadrage positif</w:t>
      </w:r>
    </w:p>
    <w:p>
      <w:pPr>
        <w:spacing w:after="60" w:before="60"/>
      </w:pPr>
      <w:r>
        <w:rPr>
          <w:rFonts w:ascii="Times New Roman" w:cs="Times New Roman" w:eastAsia="Times New Roman" w:hAnsi="Times New Roman"/>
          <w:color w:val="1F2937"/>
          <w:sz w:val="22"/>
          <w:szCs w:val="22"/>
        </w:rPr>
        <w:t xml:space="preserve">Le mécanisme de défense principal du Type 7 est la rationalisation, et plus précisément le recadrage positif (reframing) systématique. Selon The Enneagram in Business, les Septième expliquent leurs comportements gênants de façon entièrement positive, évitant ainsi d'accéder à leurs vraies motivations, leur tristesse ou leur anxiété. Ils opèrent ce recadrage si naturellement qu'ils ne le perçoivent pas comme une distorsion : c'est devenu leur façon de voir les choses. La page de The Enneagram in Business listée ci-dessous nomme le mécanisme « rationalization » et le décrit comme un « reframing » systématique.</w:t>
      </w:r>
      <w:r>
        <w:rPr>
          <w:rFonts w:ascii="Times New Roman" w:cs="Times New Roman" w:eastAsia="Times New Roman" w:hAnsi="Times New Roman"/>
          <w:i/>
          <w:iCs/>
          <w:color w:val="6B7280"/>
          <w:sz w:val="18"/>
          <w:szCs w:val="18"/>
        </w:rPr>
        <w:t xml:space="preserve"> [Corrigé le 09/10/2026 : « leur façon de voir les choses » était entre guillemets juste après « Selon The Enneagram in Business » : la formule n'est sur aucune page. Guillemets retirés, et les deux termes que la page porte réellement — « rationalization » et « reframing » — sont cités à leur place]</w:t>
      </w:r>
    </w:p>
    <w:p>
      <w:pPr>
        <w:spacing w:after="60" w:before="60"/>
      </w:pPr>
      <w:r>
        <w:rPr>
          <w:rFonts w:ascii="Times New Roman" w:cs="Times New Roman" w:eastAsia="Times New Roman" w:hAnsi="Times New Roman"/>
          <w:color w:val="1F2937"/>
          <w:sz w:val="22"/>
          <w:szCs w:val="22"/>
        </w:rPr>
        <w:t xml:space="preserve">Ichazo qualifiait le profil de « charlatan » non au sens péjoratif, mais en notant que le 7 offre des rêves comme s'ils étaient des réalités — pour lui-même comme pour son entourage.</w:t>
      </w:r>
    </w:p>
    <w:p>
      <w:pPr>
        <w:pStyle w:val="Heading3"/>
        <w:spacing w:after="80" w:before="200"/>
      </w:pPr>
      <w:r>
        <w:rPr>
          <w:rFonts w:ascii="Times New Roman" w:cs="Times New Roman" w:eastAsia="Times New Roman" w:hAnsi="Times New Roman"/>
          <w:b/>
          <w:bCs/>
          <w:color w:val="1F2937"/>
          <w:sz w:val="26"/>
          <w:szCs w:val="26"/>
        </w:rPr>
        <w:t xml:space="preserve">5. Les flèches : stress et sécurité</w:t>
      </w:r>
    </w:p>
    <w:p>
      <w:pPr>
        <w:spacing w:after="60" w:before="60"/>
      </w:pPr>
      <w:r>
        <w:rPr>
          <w:rFonts w:ascii="Times New Roman" w:cs="Times New Roman" w:eastAsia="Times New Roman" w:hAnsi="Times New Roman"/>
          <w:color w:val="1F2937"/>
          <w:sz w:val="22"/>
          <w:szCs w:val="22"/>
        </w:rPr>
        <w:t xml:space="preserve">Selon la structure de l'Ennéagramme (Wikipedia — Enneagram of Personality)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Stress / Désintégration → Type 1 (Le Perfectionniste) : sous pression, le Type 7 devient critique, exigeant, perfectionniste — une rigidité qui contraste avec sa légèreté habituelle.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Sécurité / Intégration → Type 5 (L'Observateur) : dans un environnement sécurisant, le Type 7 accède à plus de profondeur, de solitude créatrice, de concentration.</w:t>
      </w:r>
    </w:p>
    <w:p>
      <w:pPr>
        <w:pStyle w:val="Heading3"/>
        <w:spacing w:after="80" w:before="200"/>
      </w:pPr>
      <w:r>
        <w:rPr>
          <w:rFonts w:ascii="Times New Roman" w:cs="Times New Roman" w:eastAsia="Times New Roman" w:hAnsi="Times New Roman"/>
          <w:b/>
          <w:bCs/>
          <w:color w:val="1F2937"/>
          <w:sz w:val="26"/>
          <w:szCs w:val="26"/>
        </w:rPr>
        <w:t xml:space="preserve">6. Les ailes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7w6 (aile Loyaliste) : l'enthousiasme est tempéré par le doute et la recherche de liens affectifs stables. Plus chaleureux, légèrement plus anxieux.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7w8 (aile Chef) : l'énergie du 7 est décuplée par l'assertivité du 8. Plus décisif, ambitieux, parfois autoritaire dans la poursuite de ses désirs.</w:t>
      </w:r>
    </w:p>
    <w:p>
      <w:pPr>
        <w:pStyle w:val="Heading3"/>
        <w:spacing w:after="80" w:before="200"/>
      </w:pPr>
      <w:r>
        <w:rPr>
          <w:rFonts w:ascii="Times New Roman" w:cs="Times New Roman" w:eastAsia="Times New Roman" w:hAnsi="Times New Roman"/>
          <w:b/>
          <w:bCs/>
          <w:color w:val="1F2937"/>
          <w:sz w:val="26"/>
          <w:szCs w:val="26"/>
        </w:rPr>
        <w:t xml:space="preserve">7. Les niveaux de développement (Riso-Hudson)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sains : Gratitude profonde, émerveillement authentique, enthousiasme canalisé, multi-talentueux accomplis.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moyens : Hyperactivité, consumérisme expérientiel, incapacité à s'arrêter, fuite de la banalité.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malsains : Impulsivité, comportements addictifs, dépravation, décrochage de la réalité.</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Décryptage des patterns de fuite (Compréhension active)</w:t>
      </w:r>
    </w:p>
    <w:p>
      <w:pPr>
        <w:spacing w:after="60" w:before="60"/>
      </w:pPr>
      <w:r>
        <w:rPr>
          <w:rFonts w:ascii="Times New Roman" w:cs="Times New Roman" w:eastAsia="Times New Roman" w:hAnsi="Times New Roman"/>
          <w:color w:val="1F2937"/>
          <w:sz w:val="22"/>
          <w:szCs w:val="22"/>
        </w:rPr>
        <w:t xml:space="preserve">Objectif : ancrer les mécanismes du Type 7 en les rendant concrets et reconnaissables, que tu sois 7 ou non.</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une feuille de papier ou un carnet.
Durée : 20-25 minutes.</w:t>
      </w:r>
    </w:p>
    <w:p>
      <w:pPr>
        <w:spacing w:after="60" w:before="60"/>
      </w:pPr>
      <w:r>
        <w:rPr>
          <w:rFonts w:ascii="Times New Roman" w:cs="Times New Roman" w:eastAsia="Times New Roman" w:hAnsi="Times New Roman"/>
          <w:color w:val="1F2937"/>
          <w:sz w:val="22"/>
          <w:szCs w:val="22"/>
        </w:rPr>
        <w:t xml:space="preserve">Étapes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Lis attentivement les deux scénarios ci-dessous.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Pour chaque scénario, identifie : (a) la douleur que le personnage évite, (b) la stratégie de fuite utilisée, (c) le recadrage positif appliqué.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Note tes réponses avant de consulter le corrigé.</w:t>
      </w:r>
    </w:p>
    <w:p>
      <w:pPr>
        <w:spacing w:after="60" w:before="60"/>
      </w:pPr>
      <w:r>
        <w:rPr>
          <w:rFonts w:ascii="Times New Roman" w:cs="Times New Roman" w:eastAsia="Times New Roman" w:hAnsi="Times New Roman"/>
          <w:color w:val="1F2937"/>
          <w:sz w:val="22"/>
          <w:szCs w:val="22"/>
        </w:rPr>
        <w:t xml:space="preserve">▶ Scénario A — Antoine</w:t>
      </w:r>
    </w:p>
    <w:p>
      <w:pPr>
        <w:shd w:fill="EEF2F7" w:val="clear"/>
        <w:spacing w:after="120" w:before="120"/>
        <w:ind w:left="431" w:right="431"/>
      </w:pPr>
      <w:r>
        <w:rPr>
          <w:rFonts w:ascii="Times New Roman" w:cs="Times New Roman" w:eastAsia="Times New Roman" w:hAnsi="Times New Roman"/>
          <w:color w:val="1F2937"/>
          <w:sz w:val="22"/>
          <w:szCs w:val="22"/>
        </w:rPr>
        <w:t xml:space="preserve">Antoine, 38 ans, a lancé trois startups ces cinq dernières années. Chacune a démarré brillamment avant d'être abandonnée à mi-chemin. Lorsqu'un ami lui en fait la remarque, Antoine répond : « Je suis un explorateur, pas un gestionnaire — les phases de démarrage, c'est là que la vraie valeur se crée. Je laisse des équipes solides pour la suite. » La nuit suivante, il planifie déjà sa quatrième aventure avec enthousiasme.</w:t>
      </w:r>
    </w:p>
    <w:p>
      <w:pPr>
        <w:spacing w:after="60" w:before="60"/>
      </w:pPr>
      <w:r>
        <w:rPr>
          <w:rFonts w:ascii="Times New Roman" w:cs="Times New Roman" w:eastAsia="Times New Roman" w:hAnsi="Times New Roman"/>
          <w:color w:val="1F2937"/>
          <w:sz w:val="22"/>
          <w:szCs w:val="22"/>
        </w:rPr>
        <w:t xml:space="preserve">▶ Scénario B — Sylvie</w:t>
      </w:r>
    </w:p>
    <w:p>
      <w:pPr>
        <w:shd w:fill="EEF2F7" w:val="clear"/>
        <w:spacing w:after="120" w:before="120"/>
        <w:ind w:left="431" w:right="431"/>
      </w:pPr>
      <w:r>
        <w:rPr>
          <w:rFonts w:ascii="Times New Roman" w:cs="Times New Roman" w:eastAsia="Times New Roman" w:hAnsi="Times New Roman"/>
          <w:color w:val="1F2937"/>
          <w:sz w:val="22"/>
          <w:szCs w:val="22"/>
        </w:rPr>
        <w:t xml:space="preserve">Sylvie, formatrice, s'est inscrite en trois mois à un cours de poterie, un MOOC de japonais et un atelier d'écriture. Aucun n'est terminé. Face à l'ennui qui s'installe à chaque fois au bout de quelques semaines, elle se justifie : « Je suis une éternelle apprenante — la profondeur est dans la variété, pas dans la spécialisation. »</w:t>
      </w:r>
    </w:p>
    <w:p>
      <w:pPr>
        <w:spacing w:after="60" w:before="60"/>
      </w:pPr>
      <w:r>
        <w:rPr>
          <w:rFonts w:ascii="Times New Roman" w:cs="Times New Roman" w:eastAsia="Times New Roman" w:hAnsi="Times New Roman"/>
          <w:color w:val="1F2937"/>
          <w:sz w:val="22"/>
          <w:szCs w:val="22"/>
        </w:rPr>
        <w:t xml:space="preserve">✅ Corrigé :</w:t>
      </w:r>
    </w:p>
    <w:p>
      <w:pPr>
        <w:spacing w:after="60" w:before="60"/>
      </w:pPr>
      <w:r>
        <w:rPr>
          <w:rFonts w:ascii="Times New Roman" w:cs="Times New Roman" w:eastAsia="Times New Roman" w:hAnsi="Times New Roman"/>
          <w:color w:val="1F2937"/>
          <w:sz w:val="22"/>
          <w:szCs w:val="22"/>
        </w:rPr>
        <w:t xml:space="preserve">Scénario A — Antoine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Douleur évitée : l'ennui de la gestion, l'inconfort de la durée et des phases difficiles, la possible confrontation à l'échec.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Stratégie de fuite : passer à un nouveau projet stimulant avant d'atteindre le plateau douloureux.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Recadrage positif : se définir comme « explorateur plutôt que gestionnaire » — une identité valorisante qui normalise le non-achèvement.</w:t>
      </w:r>
    </w:p>
    <w:p>
      <w:pPr>
        <w:spacing w:after="60" w:before="60"/>
      </w:pPr>
      <w:r>
        <w:rPr>
          <w:rFonts w:ascii="Times New Roman" w:cs="Times New Roman" w:eastAsia="Times New Roman" w:hAnsi="Times New Roman"/>
          <w:color w:val="1F2937"/>
          <w:sz w:val="22"/>
          <w:szCs w:val="22"/>
        </w:rPr>
        <w:t xml:space="preserve">Scénario B — Sylvie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Douleur évitée : l'ennui et la frustration propres à la maîtrise profonde (qui exige répétition et plateaux).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Stratégie de fuite : multiplier les inscriptions avant que l'une ne devienne ennuyeuse.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Recadrage positif : ériger la variété en vertu (« éternelle apprenante »), occultant la difficulté à tolérer la routine nécessaire à la maîtrise.</w:t>
      </w:r>
    </w:p>
    <w:p>
      <w:pPr>
        <w:spacing w:after="60" w:before="60"/>
      </w:pPr>
      <w:r>
        <w:rPr>
          <w:rFonts w:ascii="Times New Roman" w:cs="Times New Roman" w:eastAsia="Times New Roman" w:hAnsi="Times New Roman"/>
          <w:color w:val="1F2937"/>
          <w:sz w:val="22"/>
          <w:szCs w:val="22"/>
        </w:rPr>
        <w:t xml:space="preserve">Note de cohérence : dans les deux cas, le recadrage est plausible et positif — c'est ce qui le rend difficile à percevoir comme défense. La clé d'identification est de chercher ce qui n'est PAS dit : la frustration, la douleur, la déception silencieuse.</w:t>
      </w:r>
    </w:p>
    <w:p>
      <w:pPr>
        <w:pBdr>
          <w:bottom w:val="single" w:color="D6E4F0" w:sz="4"/>
        </w:pBd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2 — Journal de la Gourmandise (Auto-observation sur 7 jours)</w:t>
      </w:r>
    </w:p>
    <w:p>
      <w:pPr>
        <w:spacing w:after="60" w:before="60"/>
      </w:pPr>
      <w:r>
        <w:rPr>
          <w:rFonts w:ascii="Times New Roman" w:cs="Times New Roman" w:eastAsia="Times New Roman" w:hAnsi="Times New Roman"/>
          <w:color w:val="1F2937"/>
          <w:sz w:val="22"/>
          <w:szCs w:val="22"/>
        </w:rPr>
        <w:t xml:space="preserve">Objectif : observer en temps réel la mécanique de la gourmandise expérientielle dans ta propre vie, quelle que soit ton ennéatype.</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un carnet ou une note sur smartphone.
Durée : 3-5 minutes par soir pendant 7 jours.</w:t>
      </w:r>
    </w:p>
    <w:p>
      <w:pPr>
        <w:spacing w:after="60" w:before="60"/>
      </w:pPr>
      <w:r>
        <w:rPr>
          <w:rFonts w:ascii="Times New Roman" w:cs="Times New Roman" w:eastAsia="Times New Roman" w:hAnsi="Times New Roman"/>
          <w:color w:val="1F2937"/>
          <w:sz w:val="22"/>
          <w:szCs w:val="22"/>
        </w:rPr>
        <w:t xml:space="preserve">Instructions quotidiennes :</w:t>
      </w:r>
    </w:p>
    <w:p>
      <w:pPr>
        <w:spacing w:after="60" w:before="60"/>
      </w:pPr>
      <w:r>
        <w:rPr>
          <w:rFonts w:ascii="Times New Roman" w:cs="Times New Roman" w:eastAsia="Times New Roman" w:hAnsi="Times New Roman"/>
          <w:color w:val="1F2937"/>
          <w:sz w:val="22"/>
          <w:szCs w:val="22"/>
        </w:rPr>
        <w:t xml:space="preserve">Chaque soir, note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Un moment où tu as cherché à obtenir « plus » ou « encore » de quelque chose (attention, stimulation, nourriture, nouvelles, scroll…).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Ce que tu ressentais AVANT cette recherche (ennui, inconfort, légère tristesse, anxiété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Ce que tu as ressenti PENDANT et APRÈS.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Aurais-tu pu rester dans le ressenti initial sans y échapper ? Qu'est-ce qui t'en a empêché ?</w:t>
      </w:r>
    </w:p>
    <w:p>
      <w:pPr>
        <w:spacing w:after="60" w:before="60"/>
      </w:pPr>
      <w:r>
        <w:rPr>
          <w:rFonts w:ascii="Times New Roman" w:cs="Times New Roman" w:eastAsia="Times New Roman" w:hAnsi="Times New Roman"/>
          <w:color w:val="1F2937"/>
          <w:sz w:val="22"/>
          <w:szCs w:val="22"/>
        </w:rPr>
        <w:t xml:space="preserve">Analyse de fin de semaine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Repère le schéma récurrent. Dans quel contexte (solitude, fatigue, conflit, ennui) la gourmandise s'active-t-elle le plus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 ta « saveur de gourmandise » préférentielle (informations, plaisirs sensoriels, projets, relations…).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Qu'as-tu appris sur ta propre relation au manque et à l'attente ?</w:t>
      </w:r>
    </w:p>
    <w:p>
      <w:pPr>
        <w:spacing w:after="60" w:before="60"/>
      </w:pPr>
      <w:r>
        <w:rPr>
          <w:rFonts w:ascii="Times New Roman" w:cs="Times New Roman" w:eastAsia="Times New Roman" w:hAnsi="Times New Roman"/>
          <w:color w:val="1F2937"/>
          <w:sz w:val="22"/>
          <w:szCs w:val="22"/>
        </w:rPr>
        <w:t xml:space="preserve">Cet exercice est directement inspiré de l'approche d'auto-observation de The Narrative Enneagram, l'école cofondée par Helen Palmer et David Daniels, MD, dont la page « À propos » — désormais listée ci-dessous — écrit que ses programmes reposent sur des « self-observation practices » et permettent de « recognize different type patterns from direct experience » : l'ancrage dans l'expérience première plutôt que dans la théorie.</w:t>
      </w:r>
      <w:r>
        <w:rPr>
          <w:rFonts w:ascii="Times New Roman" w:cs="Times New Roman" w:eastAsia="Times New Roman" w:hAnsi="Times New Roman"/>
          <w:i/>
          <w:iCs/>
          <w:color w:val="6B7280"/>
          <w:sz w:val="18"/>
          <w:szCs w:val="18"/>
        </w:rPr>
        <w:t xml:space="preserve"> [Corrigé le 09/10/2026 : l'école était citée ici et dans le challenge sans qu'aucune page ne la porte. Sa page « À propos » est désormais citée et listée, et ce que la leçon lui prêtait — l'ancrage dans l'expérience première — s'y lit littéralement]</w:t>
      </w:r>
    </w:p>
    <w:p>
      <w:pPr>
        <w:pBdr>
          <w:bottom w:val="single" w:color="D6E4F0" w:sz="4"/>
        </w:pBd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3 — La Pause et la Saveur (Ancrage de présence)</w:t>
      </w:r>
    </w:p>
    <w:p>
      <w:pPr>
        <w:spacing w:after="60" w:before="60"/>
      </w:pPr>
      <w:r>
        <w:rPr>
          <w:rFonts w:ascii="Times New Roman" w:cs="Times New Roman" w:eastAsia="Times New Roman" w:hAnsi="Times New Roman"/>
          <w:color w:val="1F2937"/>
          <w:sz w:val="22"/>
          <w:szCs w:val="22"/>
        </w:rPr>
        <w:t xml:space="preserve">Objectif : pratiquer la vertu du Type 7 — la Sobriété — en développant la capacité à savourer pleinement ce qui EST, plutôt que d'anticiper déjà ce qui sera.</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aucun.
Durée : 5 minutes, une fois par jour pendant 7 jours.</w:t>
      </w:r>
    </w:p>
    <w:p>
      <w:pPr>
        <w:spacing w:after="60" w:before="6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Choisis une activité quotidienne simple que tu fais souvent en « pilote automatique » (café du matin, repas, trajet, douche).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Pendant ces 5 minutes, impose-toi UNE SEULE règle : ne pas planifier, ne pas anticiper, ne pas te souvenir. Rester dans le seul présent sensoriel.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Au moment où ton esprit part en avant (« après ça je vais… » / « il faudra que… »), remarque-le sans te juger, et reviens doucement.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À la fin, note mentalement : y a-t-il eu un moment de plénitude, même bref ?</w:t>
      </w:r>
    </w:p>
    <w:p>
      <w:pPr>
        <w:spacing w:after="60" w:before="60"/>
      </w:pPr>
      <w:r>
        <w:rPr>
          <w:rFonts w:ascii="Times New Roman" w:cs="Times New Roman" w:eastAsia="Times New Roman" w:hAnsi="Times New Roman"/>
          <w:color w:val="1F2937"/>
          <w:sz w:val="22"/>
          <w:szCs w:val="22"/>
        </w:rPr>
        <w:t xml:space="preserve">L'objectif n'est pas d'éliminer le plaisir d'anticiper — c'est une ressource du 7 — mais d'expérimenter que la plénitude peut aussi résider dans le présent sans avoir besoin d'être augmentée par la projection. C'est le mouvement vers l'Idée Sacrée du Type 7 : « la plénitude est ici, maintenant » (synthèse des sources consultées).</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Challenge — La Lettre de la Douleur Évitée</w:t>
      </w:r>
    </w:p>
    <w:p>
      <w:pPr>
        <w:spacing w:after="60" w:before="60"/>
      </w:pPr>
      <w:r>
        <w:rPr>
          <w:rFonts w:ascii="Times New Roman" w:cs="Times New Roman" w:eastAsia="Times New Roman" w:hAnsi="Times New Roman"/>
          <w:color w:val="1F2937"/>
          <w:sz w:val="22"/>
          <w:szCs w:val="22"/>
        </w:rPr>
        <w:t xml:space="preserve">Ce challenge mobilise l'ensemble de la leçon : théorie (gourmandise, recadrage, niveaux) et pratique (auto-observation, présence).</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papier ou traitement de texte.
Durée : 30-45 minutes en une seule session.</w:t>
      </w:r>
    </w:p>
    <w:p>
      <w:pPr>
        <w:spacing w:after="60" w:before="60"/>
      </w:pPr>
      <w:r>
        <w:rPr>
          <w:rFonts w:ascii="Times New Roman" w:cs="Times New Roman" w:eastAsia="Times New Roman" w:hAnsi="Times New Roman"/>
          <w:color w:val="1F2937"/>
          <w:sz w:val="22"/>
          <w:szCs w:val="22"/>
        </w:rPr>
        <w:t xml:space="preserve">Instructions :</w:t>
      </w:r>
    </w:p>
    <w:p>
      <w:pPr>
        <w:spacing w:after="60" w:before="60"/>
      </w:pPr>
      <w:r>
        <w:rPr>
          <w:rFonts w:ascii="Times New Roman" w:cs="Times New Roman" w:eastAsia="Times New Roman" w:hAnsi="Times New Roman"/>
          <w:color w:val="1F2937"/>
          <w:sz w:val="22"/>
          <w:szCs w:val="22"/>
        </w:rPr>
        <w:t xml:space="preserve">Pense à une situation dans ta vie passée ou présente où tu as utilisé l'agitation, la planification ou l'enthousiasme pour ne pas rester avec une émotion difficile (tristesse, déception, perte, frustration, solitude).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1 — Nommer : Décris la situation en 3-4 lignes. Sois précis sur le contexte.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2 — Identifier : Quelle était l'émotion difficile ? Comment s'est manifestée la fuite (planification d'autre chose, enthousiasme soudain, changement de sujet...)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3 — Écrire la lettre : Rédige une lettre adressée à cette émotion que tu n'as pas voulu rencontrer. Commence par « Je ne t'ai pas laissé entrer parce que… ». Dis-lui ce que tu craignais qu'elle te fasse. Puis dis-lui ce qu'elle aurait pu t'apprendre si tu lui avais ouvert la porte.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4 — Clore : Relis la lettre. Remarque ce qui se passe dans ton corps. Pas besoin d'analyse — juste présence.</w:t>
      </w:r>
    </w:p>
    <w:p>
      <w:pPr>
        <w:spacing w:after="60" w:before="60"/>
      </w:pPr>
      <w:r>
        <w:rPr>
          <w:rFonts w:ascii="Times New Roman" w:cs="Times New Roman" w:eastAsia="Times New Roman" w:hAnsi="Times New Roman"/>
          <w:color w:val="1F2937"/>
          <w:sz w:val="22"/>
          <w:szCs w:val="22"/>
        </w:rPr>
        <w:t xml:space="preserve">Ce challenge s'inspire d'une idée que la leçon formule elle-même, et qu'aucune de ses sources n'énonce en ces termes — se donner la permission de la douleur. Elle rejoint ce que le tableau de la page Wikipedia listée ci-dessous nomme la vertu du type, « Sobriety », et elle décrit le chemin de transformation du Type 7 : la douleur n'est pas l'ennemi — c'est le terrain de la profondeur et de la vraie satisfaction (synthèse des approches Riso-Hudson et Narrative Enneagram).</w:t>
      </w:r>
      <w:r>
        <w:rPr>
          <w:rFonts w:ascii="Times New Roman" w:cs="Times New Roman" w:eastAsia="Times New Roman" w:hAnsi="Times New Roman"/>
          <w:i/>
          <w:iCs/>
          <w:color w:val="6B7280"/>
          <w:sz w:val="18"/>
          <w:szCs w:val="18"/>
        </w:rPr>
        <w:t xml:space="preserve"> [Corrigé le 09/10/2026 : « permission de la douleur » était entre guillemets et prêtée à « plusieurs praticiens de l'Ennéagramme » : la formule n'est sur aucune des six pages, et « plusieurs praticiens » n'est pas une source. Guillemets retirés, paternité rendue à la leçon, et la vertu « Sobriety » du tableau de Wikipedia citée à l'appui]</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60" w:before="60"/>
      </w:pPr>
      <w:r>
        <w:rPr>
          <w:rFonts w:ascii="Times New Roman" w:cs="Times New Roman" w:eastAsia="Times New Roman" w:hAnsi="Times New Roman"/>
          <w:color w:val="1F2937"/>
          <w:sz w:val="22"/>
          <w:szCs w:val="22"/>
        </w:rPr>
        <w:t xml:space="preserve">Dans ton rôle de chef de service, le profil Type 7 est particulièrement observable dans les dynamiques d'équipe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professionnel très 7 peut apporter une énergie précieuse dans les phases de projet, d'innovation ou de changement — mais disperser son attention sur trop de chantiers simultanés et souffrir des phases de suivi et de rigueur.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 animation de réunion, un chef de service qui tire vers le 7 risque de rebondir d'idée en idée sans laisser les sujets difficiles se poser — compromettre ainsi la résolution de conflits ou la prise de conscience de problèmes profonds.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Face à une situation institutionnelle difficile (restriction budgétaire, incident grave), un 7 institutionnel peut recadrer positivement au point de minimiser des signaux d'alerte réels.</w:t>
      </w:r>
    </w:p>
    <w:p>
      <w:pPr>
        <w:spacing w:after="60" w:before="60"/>
      </w:pPr>
      <w:r>
        <w:rPr>
          <w:rFonts w:ascii="Times New Roman" w:cs="Times New Roman" w:eastAsia="Times New Roman" w:hAnsi="Times New Roman"/>
          <w:color w:val="1F2937"/>
          <w:sz w:val="22"/>
          <w:szCs w:val="22"/>
        </w:rPr>
        <w:t xml:space="preserve">L'antidote au niveau professionnel : s'autoriser à rester avec un problème inconfortable le temps qu'il faut, avant de sauter à la solution — ou à la prochaine réunion stimulante.</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réellement consultées pendant cette session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Enneagram Institute — </w:t>
      </w:r>
      <w:hyperlink w:history="1" r:id="rIdvgv1xrlhrhm1j7huc0wsh">
        <w:r>
          <w:rPr>
            <w:rFonts w:ascii="Times New Roman" w:cs="Times New Roman" w:eastAsia="Times New Roman" w:hAnsi="Times New Roman"/>
            <w:color w:val="1155CC"/>
            <w:sz w:val="22"/>
            <w:szCs w:val="22"/>
            <w:u w:val="single"/>
          </w:rPr>
          <w:t xml:space="preserve">Type Seven: The Enthusiast</w:t>
        </w:r>
      </w:hyperlink>
      <w:r>
        <w:rPr>
          <w:rFonts w:ascii="Times New Roman" w:cs="Times New Roman" w:eastAsia="Times New Roman" w:hAnsi="Times New Roman"/>
          <w:color w:val="1F2937"/>
          <w:sz w:val="22"/>
          <w:szCs w:val="22"/>
        </w:rPr>
        <w:t xml:space="preserve"> — Référence Riso-Hudson : désir, peur, niveaux de développement.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Wikipedia — </w:t>
      </w:r>
      <w:hyperlink w:history="1" r:id="rIdu7im0m7wxyc_ajtiyo51u">
        <w:r>
          <w:rPr>
            <w:rFonts w:ascii="Times New Roman" w:cs="Times New Roman" w:eastAsia="Times New Roman" w:hAnsi="Times New Roman"/>
            <w:color w:val="1155CC"/>
            <w:sz w:val="22"/>
            <w:szCs w:val="22"/>
            <w:u w:val="single"/>
          </w:rPr>
          <w:t xml:space="preserve">Enneagram of Personality</w:t>
        </w:r>
      </w:hyperlink>
      <w:r>
        <w:rPr>
          <w:rFonts w:ascii="Times New Roman" w:cs="Times New Roman" w:eastAsia="Times New Roman" w:hAnsi="Times New Roman"/>
          <w:color w:val="1F2937"/>
          <w:sz w:val="22"/>
          <w:szCs w:val="22"/>
        </w:rPr>
        <w:t xml:space="preserve"> — Structure, flèches (Types 1 et 5), ailes (7w6 / 7w8), passion et vertu.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Truity — </w:t>
      </w:r>
      <w:hyperlink w:history="1" r:id="rIdpway-kr8er9ldvkeqqgvj">
        <w:r>
          <w:rPr>
            <w:rFonts w:ascii="Times New Roman" w:cs="Times New Roman" w:eastAsia="Times New Roman" w:hAnsi="Times New Roman"/>
            <w:color w:val="1155CC"/>
            <w:sz w:val="22"/>
            <w:szCs w:val="22"/>
            <w:u w:val="single"/>
          </w:rPr>
          <w:t xml:space="preserve">What is the Rarest Enneagram Type?</w:t>
        </w:r>
      </w:hyperlink>
      <w:r>
        <w:rPr>
          <w:rFonts w:ascii="Times New Roman" w:cs="Times New Roman" w:eastAsia="Times New Roman" w:hAnsi="Times New Roman"/>
          <w:color w:val="1F2937"/>
          <w:sz w:val="22"/>
          <w:szCs w:val="22"/>
        </w:rPr>
        <w:t xml:space="preserve"> — Source de l'estimation de 9 % (enquête auprès de plus de 54 000 personnes). ⚠️ Correction du 02/08/2026 : le lien initialement cité (truity.com/blog/enneagram/personality-type/type-7) renvoyait une erreur 404 — défaut détecté par le job de contrôle qualité.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The Enneagram in Business — </w:t>
      </w:r>
      <w:hyperlink w:history="1" r:id="rIduogb97cuujpypndg6fowz">
        <w:r>
          <w:rPr>
            <w:rFonts w:ascii="Times New Roman" w:cs="Times New Roman" w:eastAsia="Times New Roman" w:hAnsi="Times New Roman"/>
            <w:color w:val="1155CC"/>
            <w:sz w:val="22"/>
            <w:szCs w:val="22"/>
            <w:u w:val="single"/>
          </w:rPr>
          <w:t xml:space="preserve">Defense Mechanism Type 7</w:t>
        </w:r>
      </w:hyperlink>
      <w:r>
        <w:rPr>
          <w:rFonts w:ascii="Times New Roman" w:cs="Times New Roman" w:eastAsia="Times New Roman" w:hAnsi="Times New Roman"/>
          <w:color w:val="1F2937"/>
          <w:sz w:val="22"/>
          <w:szCs w:val="22"/>
        </w:rPr>
        <w:t xml:space="preserve"> — Mécanisme de défense : rationalisation et recadrage positif.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Typology Central — </w:t>
      </w:r>
      <w:hyperlink w:history="1" r:id="rId5l9vux43zlpxpbvp0k0fi">
        <w:r>
          <w:rPr>
            <w:rFonts w:ascii="Times New Roman" w:cs="Times New Roman" w:eastAsia="Times New Roman" w:hAnsi="Times New Roman"/>
            <w:color w:val="1155CC"/>
            <w:sz w:val="22"/>
            <w:szCs w:val="22"/>
            <w:u w:val="single"/>
          </w:rPr>
          <w:t xml:space="preserve">Naranjo's interpretation of Gluttony (Type 7)</w:t>
        </w:r>
      </w:hyperlink>
      <w:r>
        <w:rPr>
          <w:rFonts w:ascii="Times New Roman" w:cs="Times New Roman" w:eastAsia="Times New Roman" w:hAnsi="Times New Roman"/>
          <w:color w:val="1F2937"/>
          <w:sz w:val="22"/>
          <w:szCs w:val="22"/>
        </w:rPr>
        <w:t xml:space="preserve"> — Texte de Naranjo sur la gourmandise, et le mot « charlatan » qu'Ichazo employait en espagnol pour ce type.</w:t>
      </w:r>
      <w:r>
        <w:rPr>
          <w:rFonts w:ascii="Times New Roman" w:cs="Times New Roman" w:eastAsia="Times New Roman" w:hAnsi="Times New Roman"/>
          <w:i/>
          <w:iCs/>
          <w:color w:val="6B7280"/>
          <w:sz w:val="18"/>
          <w:szCs w:val="18"/>
        </w:rPr>
        <w:t xml:space="preserve"> [Corrigé le 09/10/2026 : l'étiquette annonçait « l'idéalisme opportuniste », terme absent de la page comme du reste du dossier ; elle annonce maintenant ce que la page porte vraiment]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Epanessence — </w:t>
      </w:r>
      <w:hyperlink w:history="1" r:id="rId5ibjxwneqyuvdbkk1vztv">
        <w:r>
          <w:rPr>
            <w:rFonts w:ascii="Times New Roman" w:cs="Times New Roman" w:eastAsia="Times New Roman" w:hAnsi="Times New Roman"/>
            <w:color w:val="1155CC"/>
            <w:sz w:val="22"/>
            <w:szCs w:val="22"/>
            <w:u w:val="single"/>
          </w:rPr>
          <w:t xml:space="preserve">Le type 7 en ennéagramme : ce que vous ne savez pas</w:t>
        </w:r>
      </w:hyperlink>
      <w:r>
        <w:rPr>
          <w:rFonts w:ascii="Times New Roman" w:cs="Times New Roman" w:eastAsia="Times New Roman" w:hAnsi="Times New Roman"/>
          <w:color w:val="1F2937"/>
          <w:sz w:val="22"/>
          <w:szCs w:val="22"/>
        </w:rPr>
        <w:t xml:space="preserve"> — Ressource FR : rapport au plaisir, à l'idéalisation, à l'anticipation.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The Narrative Enneagram — </w:t>
      </w:r>
      <w:hyperlink w:history="1" r:id="rIdtne0910e09">
        <w:r>
          <w:rPr>
            <w:rFonts w:ascii="Times New Roman" w:cs="Times New Roman" w:eastAsia="Times New Roman" w:hAnsi="Times New Roman"/>
            <w:color w:val="1155CC"/>
            <w:sz w:val="22"/>
            <w:szCs w:val="22"/>
            <w:u w:val="single"/>
          </w:rPr>
          <w:t xml:space="preserve">À propos de TNE</w:t>
        </w:r>
      </w:hyperlink>
      <w:r>
        <w:rPr>
          <w:rFonts w:ascii="Times New Roman" w:cs="Times New Roman" w:eastAsia="Times New Roman" w:hAnsi="Times New Roman"/>
          <w:color w:val="1F2937"/>
          <w:sz w:val="22"/>
          <w:szCs w:val="22"/>
        </w:rPr>
        <w:t xml:space="preserve"> — École cofondée par Helen Palmer et David Daniels, MD ; source de l'approche d'auto-observation de l'exercice 2 et du challenge.</w:t>
      </w:r>
    </w:p>
    <w:p>
      <w:pPr>
        <w:pStyle w:val="ListParagraph"/>
        <w:numPr>
          <w:ilvl w:val="0"/>
          <w:numId w:val="1"/>
        </w:numPr>
        <w:spacing w:after="40" w:before="40"/>
      </w:pPr>
      <w:r>
        <w:rPr>
          <w:rFonts w:ascii="Times New Roman" w:cs="Times New Roman" w:eastAsia="Times New Roman" w:hAnsi="Times New Roman"/>
          <w:i/>
          <w:iCs/>
          <w:color w:val="6B7280"/>
          <w:sz w:val="18"/>
          <w:szCs w:val="18"/>
        </w:rPr>
        <w:t xml:space="preserve"> [Corrigé le 09/10/2026 : ressource ajoutée : la leçon citait l'école trois fois dans son corps sans la lister. Vérifiée le 09/10/2026, HTTP 200, 6 066 caractères de texte]</w:t>
      </w:r>
    </w:p>
    <w:p>
      <w:pPr>
        <w:spacing w:after="60" w:before="60"/>
      </w:pPr>
      <w:r>
        <w:rPr>
          <w:rFonts w:ascii="Times New Roman" w:cs="Times New Roman" w:eastAsia="Times New Roman" w:hAnsi="Times New Roman"/>
          <w:color w:val="1F2937"/>
          <w:sz w:val="22"/>
          <w:szCs w:val="22"/>
        </w:rPr>
        <w:t xml:space="preserve">Sources ⛔ non disponibles lors de cette session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psychologytoday.com/us/basics/enneagram ⛔ (erreur 404 — contenu déplacé ou supprimé)</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Prochaine leçon (n°10)</w:t>
      </w:r>
    </w:p>
    <w:p>
      <w:pPr>
        <w:spacing w:after="60" w:before="60"/>
      </w:pPr>
      <w:r>
        <w:rPr>
          <w:rFonts w:ascii="Times New Roman" w:cs="Times New Roman" w:eastAsia="Times New Roman" w:hAnsi="Times New Roman"/>
          <w:color w:val="1F2937"/>
          <w:sz w:val="22"/>
          <w:szCs w:val="22"/>
        </w:rPr>
        <w:t xml:space="preserve">Leçon n°10 — Type 8 : Le Chef / Le Protecteur (désir : autonomie et contrôle ; peur : être dominé ou blessé ; passion : l'excès / luxure de pouvoir). On explorera comment le 8 protège sa vulnérabilité par la puissance, la confrontation directe et le refus d'être contrôlé — un profil particulièrement présent dans les postures de leadership.</w:t>
      </w:r>
    </w:p>
    <w:p>
      <w:r>
        <w:t xml:space="preserve"/>
      </w:r>
    </w:p>
    <w:p>
      <w:pPr>
        <w:jc w:val="center"/>
      </w:pPr>
      <w:r>
        <w:rPr>
          <w:rFonts w:ascii="Times New Roman" w:cs="Times New Roman" w:eastAsia="Times New Roman" w:hAnsi="Times New Roman"/>
          <w:i/>
          <w:iCs/>
          <w:color w:val="AAAAAA"/>
          <w:sz w:val="16"/>
          <w:szCs w:val="16"/>
        </w:rPr>
        <w:t xml:space="preserve">— Parcours Ennéagramme · Leçon 09/16 · © Usage personnel —</w:t>
      </w:r>
    </w:p>
    <w:p>
      <w:pPr>
        <w:spacing w:after="100" w:before="100"/>
      </w:pPr>
      <w:r>
        <w:rPr>
          <w:rFonts w:ascii="Times New Roman" w:cs="Times New Roman" w:eastAsia="Times New Roman" w:hAnsi="Times New Roman"/>
          <w:b/>
          <w:bCs/>
          <w:color w:val="1F2937"/>
          <w:sz w:val="26"/>
          <w:szCs w:val="26"/>
        </w:rPr>
        <w:t xml:space="preserve">📝 Journal des corrections</w:t>
      </w:r>
    </w:p>
    <w:p>
      <w:pPr>
        <w:spacing w:after="100" w:before="100"/>
      </w:pPr>
      <w:r>
        <w:rPr>
          <w:rFonts w:ascii="Times New Roman" w:cs="Times New Roman" w:eastAsia="Times New Roman" w:hAnsi="Times New Roman"/>
          <w:color w:val="6B7280"/>
          <w:sz w:val="18"/>
          <w:szCs w:val="18"/>
        </w:rPr>
        <w:t xml:space="preserve">Corrections du 09/10/2026, après relecture de la leçon et réouverture de ses six pages. Le texte d'origine est conservé ici ; les corrections sont signalées dans le corps par un marqueur gris daté. Sept corrections, et deux points vérifiés qui n'en demandaient pas. La leçon a été produite le 29/07/2026, avant l'écriture du contrôle qui l'a prise en défaut (24/09/2026).</w:t>
      </w:r>
    </w:p>
    <w:p>
      <w:pPr>
        <w:spacing w:after="100" w:before="100"/>
      </w:pPr>
      <w:r>
        <w:rPr>
          <w:rFonts w:ascii="Times New Roman" w:cs="Times New Roman" w:eastAsia="Times New Roman" w:hAnsi="Times New Roman"/>
          <w:b/>
          <w:bCs/>
          <w:color w:val="1F2937"/>
          <w:sz w:val="18"/>
          <w:szCs w:val="18"/>
        </w:rPr>
        <w:t xml:space="preserve">Noms du type et nomenclatures — </w:t>
      </w:r>
      <w:r>
        <w:rPr>
          <w:rFonts w:ascii="Times New Roman" w:cs="Times New Roman" w:eastAsia="Times New Roman" w:hAnsi="Times New Roman"/>
          <w:color w:val="1F2937"/>
          <w:sz w:val="18"/>
          <w:szCs w:val="18"/>
        </w:rPr>
        <w:t xml:space="preserve">« L'Épicurien (Narrative Enneagram, approche Palmer) … Dans la nomenclature de Claudio Naranjo, ce type incarne l'« idéalisme opportuniste ». Oscar Ichazo nommait ce profil « Ego-Plan(ning) » » → les deux noms viennent du tableau de la page Wikipedia listée (« Enthusiast, Epicure »), la fixation y est « Planning » et le piège « Idealism ». « idéalisme opportuniste » et « Ego-Plan(ning) » comptent zéro occurrence sur les six pages.</w:t>
      </w:r>
    </w:p>
    <w:p>
      <w:pPr>
        <w:spacing w:after="100" w:before="100"/>
      </w:pPr>
      <w:r>
        <w:rPr>
          <w:rFonts w:ascii="Times New Roman" w:cs="Times New Roman" w:eastAsia="Times New Roman" w:hAnsi="Times New Roman"/>
          <w:b/>
          <w:bCs/>
          <w:color w:val="1F2937"/>
          <w:sz w:val="18"/>
          <w:szCs w:val="18"/>
        </w:rPr>
        <w:t xml:space="preserve">Citation sur la gourmandise — </w:t>
      </w:r>
      <w:r>
        <w:rPr>
          <w:rFonts w:ascii="Times New Roman" w:cs="Times New Roman" w:eastAsia="Times New Roman" w:hAnsi="Times New Roman"/>
          <w:color w:val="1F2937"/>
          <w:sz w:val="18"/>
          <w:szCs w:val="18"/>
        </w:rPr>
        <w:t xml:space="preserve">« un désir de consommer, d'absorber ce qui est plaisant », prêtée à « la littérature sur ce type » → reformulé sans guillemets, et remplacé par « a passion for pleasure » et « hedonism is binding upon the psyche », présents sur la page de Typology Central.</w:t>
      </w:r>
    </w:p>
    <w:p>
      <w:pPr>
        <w:spacing w:after="100" w:before="100"/>
      </w:pPr>
      <w:r>
        <w:rPr>
          <w:rFonts w:ascii="Times New Roman" w:cs="Times New Roman" w:eastAsia="Times New Roman" w:hAnsi="Times New Roman"/>
          <w:b/>
          <w:bCs/>
          <w:color w:val="1F2937"/>
          <w:sz w:val="18"/>
          <w:szCs w:val="18"/>
        </w:rPr>
        <w:t xml:space="preserve">Citation sur le recadrage — </w:t>
      </w:r>
      <w:r>
        <w:rPr>
          <w:rFonts w:ascii="Times New Roman" w:cs="Times New Roman" w:eastAsia="Times New Roman" w:hAnsi="Times New Roman"/>
          <w:color w:val="1F2937"/>
          <w:sz w:val="18"/>
          <w:szCs w:val="18"/>
        </w:rPr>
        <w:t xml:space="preserve">« leur façon de voir les choses », juste après « Selon The Enneagram in Business » → reformulé sans guillemets ; les termes de la page, « rationalization » et « reframing », sont cités à leur place.</w:t>
      </w:r>
    </w:p>
    <w:p>
      <w:pPr>
        <w:spacing w:after="100" w:before="100"/>
      </w:pPr>
      <w:r>
        <w:rPr>
          <w:rFonts w:ascii="Times New Roman" w:cs="Times New Roman" w:eastAsia="Times New Roman" w:hAnsi="Times New Roman"/>
          <w:b/>
          <w:bCs/>
          <w:color w:val="1F2937"/>
          <w:sz w:val="18"/>
          <w:szCs w:val="18"/>
        </w:rPr>
        <w:t xml:space="preserve">Citation du challenge — </w:t>
      </w:r>
      <w:r>
        <w:rPr>
          <w:rFonts w:ascii="Times New Roman" w:cs="Times New Roman" w:eastAsia="Times New Roman" w:hAnsi="Times New Roman"/>
          <w:color w:val="1F2937"/>
          <w:sz w:val="18"/>
          <w:szCs w:val="18"/>
        </w:rPr>
        <w:t xml:space="preserve">« permission de la douleur », prêtée à « plusieurs praticiens de l'Ennéagramme » → paternité rendue à la leçon, et la vertu « Sobriety » du tableau de Wikipedia citée à l'appui.</w:t>
      </w:r>
    </w:p>
    <w:p>
      <w:pPr>
        <w:spacing w:after="100" w:before="100"/>
      </w:pPr>
      <w:r>
        <w:rPr>
          <w:rFonts w:ascii="Times New Roman" w:cs="Times New Roman" w:eastAsia="Times New Roman" w:hAnsi="Times New Roman"/>
          <w:b/>
          <w:bCs/>
          <w:color w:val="1F2937"/>
          <w:sz w:val="18"/>
          <w:szCs w:val="18"/>
        </w:rPr>
        <w:t xml:space="preserve">Approche du Narrative Enneagram — </w:t>
      </w:r>
      <w:r>
        <w:rPr>
          <w:rFonts w:ascii="Times New Roman" w:cs="Times New Roman" w:eastAsia="Times New Roman" w:hAnsi="Times New Roman"/>
          <w:color w:val="1F2937"/>
          <w:sz w:val="18"/>
          <w:szCs w:val="18"/>
        </w:rPr>
        <w:t xml:space="preserve">l'école était citée trois fois sans qu'aucune page ne la porte → sa page « À propos » est citée, listée, et ce que la leçon lui prêtait s'y lit littéralement.</w:t>
      </w:r>
    </w:p>
    <w:p>
      <w:pPr>
        <w:spacing w:after="100" w:before="100"/>
      </w:pPr>
      <w:r>
        <w:rPr>
          <w:rFonts w:ascii="Times New Roman" w:cs="Times New Roman" w:eastAsia="Times New Roman" w:hAnsi="Times New Roman"/>
          <w:b/>
          <w:bCs/>
          <w:color w:val="1F2937"/>
          <w:sz w:val="18"/>
          <w:szCs w:val="18"/>
        </w:rPr>
        <w:t xml:space="preserve">Étiquette de la ressource Typology Central — </w:t>
      </w:r>
      <w:r>
        <w:rPr>
          <w:rFonts w:ascii="Times New Roman" w:cs="Times New Roman" w:eastAsia="Times New Roman" w:hAnsi="Times New Roman"/>
          <w:color w:val="1F2937"/>
          <w:sz w:val="18"/>
          <w:szCs w:val="18"/>
        </w:rPr>
        <w:t xml:space="preserve">« Lecture de Naranjo sur la gourmandise et l'idéalisme opportuniste » → « Texte de Naranjo sur la gourmandise, et le mot « charlatan » qu'Ichazo employait en espagnol pour ce type ».</w:t>
      </w:r>
    </w:p>
    <w:p>
      <w:pPr>
        <w:spacing w:after="100" w:before="100"/>
      </w:pPr>
      <w:r>
        <w:rPr>
          <w:rFonts w:ascii="Times New Roman" w:cs="Times New Roman" w:eastAsia="Times New Roman" w:hAnsi="Times New Roman"/>
          <w:b/>
          <w:bCs/>
          <w:color w:val="1F2937"/>
          <w:sz w:val="18"/>
          <w:szCs w:val="18"/>
        </w:rPr>
        <w:t xml:space="preserve">Ressource ajoutée — </w:t>
      </w:r>
      <w:r>
        <w:rPr>
          <w:rFonts w:ascii="Times New Roman" w:cs="Times New Roman" w:eastAsia="Times New Roman" w:hAnsi="Times New Roman"/>
          <w:color w:val="1F2937"/>
          <w:sz w:val="18"/>
          <w:szCs w:val="18"/>
        </w:rPr>
        <w:t xml:space="preserve">The Narrative Enneagram — À propos de TNE (narrativeenneagram.org/about/).</w:t>
      </w:r>
    </w:p>
    <w:p>
      <w:pPr>
        <w:spacing w:after="100" w:before="100"/>
      </w:pPr>
      <w:r>
        <w:rPr>
          <w:rFonts w:ascii="Times New Roman" w:cs="Times New Roman" w:eastAsia="Times New Roman" w:hAnsi="Times New Roman"/>
          <w:b/>
          <w:bCs/>
          <w:color w:val="1F2937"/>
          <w:sz w:val="18"/>
          <w:szCs w:val="18"/>
        </w:rPr>
        <w:t xml:space="preserve">Vérifié et NON corrigé — </w:t>
      </w:r>
      <w:r>
        <w:rPr>
          <w:rFonts w:ascii="Times New Roman" w:cs="Times New Roman" w:eastAsia="Times New Roman" w:hAnsi="Times New Roman"/>
          <w:color w:val="1F2937"/>
          <w:sz w:val="18"/>
          <w:szCs w:val="18"/>
        </w:rPr>
        <w:t xml:space="preserve">« environ 9 % de la population selon Truity, sur la base d'une enquête auprès de plus de 54 000 personnes » est EXACT : la page écrit « In Truity's survey of over 54,000 people, Type 7 represented 9 percent of the population ». La passe D du contrôle commun signalait « 54 000 absente des pages citées » — elle cherche l'écriture à espace et la page écrit « 54,000 » avec une virgule. Faux négatif du contrôle, pas défaut de la leçon. La réserve de la leçon sur la représentativité de l'échantillon est également juste.</w:t>
      </w:r>
    </w:p>
    <w:p>
      <w:pPr>
        <w:spacing w:after="100" w:before="100"/>
      </w:pPr>
      <w:r>
        <w:rPr>
          <w:rFonts w:ascii="Times New Roman" w:cs="Times New Roman" w:eastAsia="Times New Roman" w:hAnsi="Times New Roman"/>
          <w:b/>
          <w:bCs/>
          <w:color w:val="1F2937"/>
          <w:sz w:val="18"/>
          <w:szCs w:val="18"/>
        </w:rPr>
        <w:t xml:space="preserve">Vérifié et NON corrigé — </w:t>
      </w:r>
      <w:r>
        <w:rPr>
          <w:rFonts w:ascii="Times New Roman" w:cs="Times New Roman" w:eastAsia="Times New Roman" w:hAnsi="Times New Roman"/>
          <w:color w:val="1F2937"/>
          <w:sz w:val="18"/>
          <w:szCs w:val="18"/>
        </w:rPr>
        <w:t xml:space="preserve">« Ichazo qualifiait le profil de « charlatan » » est EXACT et littéral : la page de Typology Central, qui reproduit Naranjo, écrit « he used the word « charlatan » for the ennea-type VII individual (and « charlatanism » for the fixation)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gv1xrlhrhm1j7huc0wsh" Type="http://schemas.openxmlformats.org/officeDocument/2006/relationships/hyperlink" Target="https://www.enneagraminstitute.com/type-7" TargetMode="External"/><Relationship Id="rIdu7im0m7wxyc_ajtiyo51u" Type="http://schemas.openxmlformats.org/officeDocument/2006/relationships/hyperlink" Target="https://en.wikipedia.org/wiki/Enneagram_of_Personality" TargetMode="External"/><Relationship Id="rIdpway-kr8er9ldvkeqqgvj" Type="http://schemas.openxmlformats.org/officeDocument/2006/relationships/hyperlink" Target="https://www.truity.com/blog/what-rarest-enneagram-type" TargetMode="External"/><Relationship Id="rIduogb97cuujpypndg6fowz" Type="http://schemas.openxmlformats.org/officeDocument/2006/relationships/hyperlink" Target="https://theenneagraminbusiness.com/theory/defense-mechanism-guardians-of-our-type-based-ego-structure-type-7/" TargetMode="External"/><Relationship Id="rId5l9vux43zlpxpbvp0k0fi" Type="http://schemas.openxmlformats.org/officeDocument/2006/relationships/hyperlink" Target="https://www.typologycentral.com/threads/naranjos-interpretation-of-gluttony-enneagram-type-7s-vice.67259/" TargetMode="External"/><Relationship Id="rId5ibjxwneqyuvdbkk1vztv" Type="http://schemas.openxmlformats.org/officeDocument/2006/relationships/hyperlink" Target="https://epanessence.com/enneatype-7/" TargetMode="External"/><Relationship Id="rId13" Type="http://schemas.openxmlformats.org/officeDocument/2006/relationships/fontTable" Target="fontTable.xml"/><Relationship Id="rIdtne0910e09" Type="http://schemas.openxmlformats.org/officeDocument/2006/relationships/hyperlink" Target="https://www.narrativeenneagram.org/abou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2026-07-29T07:07:14.774Z</dcterms:created>
  <dcterms:modified xsi:type="dcterms:W3CDTF">2026-07-29T07:07:14.995Z</dcterms:modified>
</cp:coreProperties>
</file>

<file path=docProps/custom.xml><?xml version="1.0" encoding="utf-8"?>
<Properties xmlns="http://schemas.openxmlformats.org/officeDocument/2006/custom-properties" xmlns:vt="http://schemas.openxmlformats.org/officeDocument/2006/docPropsVTypes"/>
</file>