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Calibri" w:cs="Calibri" w:eastAsia="Calibri" w:hAnsi="Calibri"/>
          <w:b/>
          <w:bCs/>
          <w:color w:val="1B3A6B"/>
          <w:sz w:val="56"/>
          <w:szCs w:val="56"/>
        </w:rPr>
        <w:t xml:space="preserve">Veille AI Act — Compte-rendu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F2937"/>
          <w:sz w:val="24"/>
          <w:szCs w:val="24"/>
        </w:rPr>
        <w:t xml:space="preserve">4 septembre 2026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F2937"/>
          <w:sz w:val="24"/>
          <w:szCs w:val="24"/>
        </w:rPr>
        <w:t xml:space="preserve">Fenêtre couverte : 28 août → 4 septembre 2026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color w:val="D97706"/>
          <w:sz w:val="28"/>
          <w:szCs w:val="28"/>
        </w:rPr>
        <w:t xml:space="preserve">🟡  Niveau d'alerte : À surveiller</w:t>
      </w:r>
    </w:p>
    <w:p>
      <w:pPr>
        <w:spacing w:after="16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📋 Révision de la note précédente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Note précédente : 29/08/2026. Résumé de fiche consulté — aucune inexactitude identifiée. La note du 29/08 avait elle-même corrigé cinq points de l'édition du 19/07 (date du CADA, lignes directrices CEPD, référence du règlement 2026/1744, périmètre art. 50). Aucune correction à apporter à cette édition.</w:t>
      </w:r>
    </w:p>
    <w:p>
      <w:pPr>
        <w:spacing w:after="16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🔵 En bref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Conseil de l'UE (28/08/2026) : document de travail CM 3635/26 sur les compétences et aptitudes pour l'IA — en lien direct avec l'obligation de littératie IA (art. 4, en vigueur depuis le 2/08/2026).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IAPP (28/08–03/09/2026) : quatre articles publiés dans la fenêtre — gouvernance IA en entreprise, chatbots médicaux et alignement RGPD/AI Act, IA et droits d'auteur dans les secteurs créatifs, CRA/NIS2 et notifications d'incidents.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CNIL : aucune publication dans la fenêtre stricte 28/08–04/09. Dernière publication : 26/08 (outil de traçabilité des modèles open source, hors fenêtre).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Autorités nationales françaises : désignation toujours non finalisée au 04/09/2026. Le DPO reste l'interlocuteur pratique pour un ESSMS.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Prochaine échéance critique : 2 décembre 2026 — fin de la période transitoire (art. 50 §2) pour les systèmes génératifs mis sur le marché avant le 2/08/2026.</w:t>
      </w:r>
    </w:p>
    <w:p>
      <w:pPr>
        <w:spacing w:after="16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📅 Échéances réglementaires à venir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Source : AI Act Service Desk, consulté le 04/09/2026.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✅ 2 août 2026 (PASSÉ) — Obligations de transparence (art. 50) + littératie IA (art. 4) en vigueur. Régime de sanctions ACTIF : jusqu'à 35 M€ ou 7 % du CA mondial pour les pratiques interdites ; 15 M€ ou 3 % pour transparence et GPAI.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⏳ 2 décembre 2026 (J-89) — Fin de la période transitoire art. 50 §2 pour les systèmes génératifs commercialisés avant le 2/08/2026. Interdiction des hypertrucages sexuels non consentis et du CSAM.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2 août 2027 — Au moins 1 bac à sable IA opérationnel par État membre.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2 décembre 2027 — Application aux systèmes à haut risque (Annexe III).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2 août 2028 — Application aux systèmes intégrés dans des produits réglementés (Annexe I).</w:t>
      </w:r>
    </w:p>
    <w:p>
      <w:pPr>
        <w:spacing w:after="60"/>
      </w:pPr>
      <w:r>
        <w:rPr>
          <w:sz w:val="4"/>
          <w:szCs w:val="4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Texte de référence : règlement (UE) 2024/1689 tel que modifié par le règlement (UE) 2026/1744 du 8 juillet 2026 (AI Omnibus), publié au JOUE le 24/07/2026, en vigueur le 27/07/2026.</w:t>
      </w:r>
    </w:p>
    <w:p>
      <w:pPr>
        <w:spacing w:after="16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🏛️ Actualité officielle UE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Commission européenne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Page consultée : digital-strategy.ec.europa.eu/en/policies/regulatory-framework-ai (HTTP 200, màj 03/08/2026). Aucune publication nouvelle dans la fenêtre. Page de référence statique pour la présentation du règlement et de l'AI Office.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Conseil de l'Union européenne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28/08/2026 — </w:t>
      </w:r>
      <w:hyperlink w:history="1" r:id="rIdfzfyfgpyfi5rdcmtopy9h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CM 3635/26 — Draft Council Conclusions on skills and competences for AI (PDF)</w:t>
        </w:r>
      </w:hyperlink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 — Document de travail sur les compétences et aptitudes nécessaires à une utilisation responsable de l'IA (entreprises, secteur public, individus). En lien direct avec l'art. 4 AI Act (obligation de littératie IA des déployeurs, en vigueur depuis le 2/08/2026). [⚠️ Page principale consilium.europa.eu inaccessible (403) — PDF vérifié accessible via data.consilium.europa.eu (HTTP 200)]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AI Act Service Desk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Page de référence consultée : </w:t>
      </w:r>
      <w:hyperlink w:history="1" r:id="rIdwjc3wjoc__z-szry6guh2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Timeline d'implémentation de l'AI Act</w:t>
        </w:r>
      </w:hyperlink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 — Calendrier officiel confirmé (voir section Échéances).</w:t>
      </w:r>
    </w:p>
    <w:p>
      <w:pPr>
        <w:spacing w:after="16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📰 Analyses &amp; gouvernance (IAPP)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Source : iapp.org/news, consulté le 04/09/2026 (HTTP 200). Quatre articles dans la fenêtre. ⚠️ Les articles marqués [MEMBER] requièrent un abonnement IAPP : titre, date et thème disponibles — corps non lu. Les articles [LIBRE] sont accessibles sans authentification (isAccessibleForFree: true vérifié) mais leur corps n'a pas été reproduit dans cette note.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02/09/2026 [LIBRE] — </w:t>
      </w:r>
      <w:hyperlink w:history="1" r:id="rIdahwztqbbvr2sw5ynilqcr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The CISO's New Privacy Mandate in Enterprise AI Governance</w:t>
        </w:r>
      </w:hyperlink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 — Great Gu. Thème (d'après le titre) : le repositionnement du RSSI (CISO) comme acteur central de la conformité IA en entreprise. Angle pertinent pour les directions d'ESSMS articulant DPO et référent numérique.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02/09/2026 [MEMBER] — </w:t>
      </w:r>
      <w:hyperlink w:history="1" r:id="rIdi0wtuw-izotboifwczfsa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Patient Rights and AI Medical Chatbots: GDPR and EU AI Act Alignment</w:t>
        </w:r>
      </w:hyperlink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 — Xiting Li. Thème (d'après le titre) : alignement RGPD/AI Act pour les chatbots IA médicaux. Directement pertinent pour les ESSMS envisageant des outils conversationnels. [Corps non accessible — titre et thème uniquement]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03/09/2026 [LIBRE] — </w:t>
      </w:r>
      <w:hyperlink w:history="1" r:id="rIdqkucxjcckbb1qvxllsyeg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A View from Brussels: Creative and AI, a Case of David and Goliath?</w:t>
        </w:r>
      </w:hyperlink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 — Isabelle Roccia. Thème (d'après le titre) : tension entre IA générative et secteurs créatifs (droits d'auteur, propriété intellectuelle). Impact indirect pour les ESSMS produisant des contenus de formation avec des outils IA.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28/08/2026 [MEMBER] — </w:t>
      </w:r>
      <w:hyperlink w:history="1" r:id="rId7w9zosnahlpatm7qqvkv-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Four Clocks, One Incident: What the CRA Adds to EU Incident Notifications</w:t>
        </w:r>
      </w:hyperlink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 — Georgia Chatzitheodorou. Thème (d'après le titre) : articulation des quatre régimes de notification d'incidents (CRA, NIS2, RGPD, DORA). Signal à surveiller pour les établissements utilisant des systèmes numériques connectés. [Corps non accessible — titre et thème uniquement]</w:t>
      </w:r>
    </w:p>
    <w:p>
      <w:pPr>
        <w:spacing w:after="16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🇫🇷 Perspective française (CNIL/RGPD)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Aucune publication CNIL dans la fenêtre stricte 28/08–04/09/2026. Deux rappels hors fenêtre :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26/08/2026 (hors fenêtre de 2 jours) — CNIL : mise à jour de l'outil de traçabilité des modèles IA publiés en source ouverte (démonstrateur de généalogie des modèles). Utile pour documenter l'origine des outils IA utilisés dans l'établissement.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17/08/2026 (hors fenêtre) — Mise à jour de la page </w:t>
      </w:r>
      <w:hyperlink w:history="1" r:id="rIdbzpux9svvt14mei_8z0w7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CNIL Q&amp;R sur l'entrée en vigueur du règlement IA</w:t>
        </w:r>
      </w:hyperlink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 : articulation RGPD / AI Act clarifiée — les deux règlements s'appliquent simultanément pour les systèmes IA à haut risque traitant des données personnelles ; le déployeur peut s'appuyer sur l'AIPD du fournisseur (art. 26 et 27).</w:t>
      </w:r>
    </w:p>
    <w:p>
      <w:pPr>
        <w:spacing w:after="60"/>
      </w:pPr>
      <w:r>
        <w:rPr>
          <w:sz w:val="4"/>
          <w:szCs w:val="4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Autorités nationales françaises : désignation toujours non finalisée au 04/09/2026 (volet numérique du DDADUE en navette parlementaire). Cette absence ne suspend aucune obligation. L'interlocuteur de fait pour un ESSMS reste la CNIL via son DPO.</w:t>
      </w:r>
    </w:p>
    <w:p>
      <w:pPr>
        <w:spacing w:after="16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⚠️ Impacts pour les ESSMS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Littératie IA (art. 4) — action requise : </w:t>
      </w: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Obligation en vigueur depuis le 2/08/2026. Le CM 3635/26 du Conseil (28/08) confirme que les institutions investissent dans des cadres de compétences IA. Pour les 12 professionnels des deux équipes : tracer une formation courte (contenu, date, émargement). Un module intégré au plan de formation annuel suffit, mais la trace doit exister avant toute évaluation.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Chatbots IA et données médico-sociales : </w:t>
      </w: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L'article IAPP du 02/09 (thème : RGPD/AI Act pour chatbots médicaux) rappelle la pertinence de ce périmètre. Pour un ESSMS : recenser tout outil conversationnel ou d'assistance à la rédaction utilisé dans l'accompagnement ou la communication avec les familles. Ces outils pourraient relever de la catégorie haut risque (Annexe III §5 — services essentiels), applicable au 2/12/2027.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Transparence (art. 50) — rappel opérationnel : </w:t>
      </w: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L'obligation de divulgation vise trois cas précis : hypertrucages, textes d'intérêt public publiés sans revue humaine, et reconnaissance des émotions/catégorisation biométrique. Un compte-rendu ou une évaluation rédigés avec l'aide d'une IA puis relus et validés par un professionnel n'entrent pas dans ce champ. En revanche : une page d'actualités alimentée automatiquement ou un chatbot familles, oui.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Gouvernance numérique — DPO et référent IA : </w:t>
      </w: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L'émergence du rôle de gouvernance IA (CISO) dans les organisations illustre une tendance à anticiper dans les ESSMS. Le DPO existant peut absorber ce rôle. À intégrer dans le projet d'établissement et dans la préparation de l'évaluation HAS (critères de gouvernance du numérique).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Production de contenus avec outils IA (droits d'auteur) : </w:t>
      </w: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L'article IAPP du 03/09 (IA et secteurs créatifs) rappelle les enjeux de propriété intellectuelle. Pour un ESSMS produisant des supports de formation ou de communication avec des outils IA : vérifier la politique d'attribution du prestataire utilisé.</w:t>
      </w:r>
    </w:p>
    <w:p>
      <w:pPr>
        <w:spacing w:after="16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📚 Sources du jour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✅ </w:t>
      </w:r>
      <w:hyperlink w:history="1" r:id="rId8sifpzajnupwuimg0z8it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AI Act Service Desk — Timeline d'implémentation de l'AI Act</w:t>
        </w:r>
      </w:hyperlink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 — Consulté le 04/09/2026 — timeline reprise dans section Échéances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✅ </w:t>
      </w:r>
      <w:hyperlink w:history="1" r:id="rIdeiki_rfih0jixgwlxhe3o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IAPP — iapp.org/news</w:t>
        </w:r>
      </w:hyperlink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 — Consulté le 04/09/2026 — 4 articles cités dans Analyses &amp; gouvernance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✅ </w:t>
      </w:r>
      <w:hyperlink w:history="1" r:id="rIdokmciesahndhfjlfxyy9e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CNIL — Q&amp;R sur l'entrée en vigueur du règlement européen sur l'IA</w:t>
        </w:r>
      </w:hyperlink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 — Mise à jour 17/08/2026 — repris dans Perspective française (hors fenêtre)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Consultée, sans élément nouveau dans la fenêtre </w:t>
      </w:r>
      <w:hyperlink w:history="1" r:id="rIddsnnayu8h6bndwgqumh5-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Commission européenne — Cadre réglementaire IA</w:t>
        </w:r>
      </w:hyperlink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 — Dernière màj : 03/08/2026 — page statique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Consultée, sans élément nouveau dans la fenêtre </w:t>
      </w:r>
      <w:hyperlink w:history="1" r:id="rIdovwjuugw05mwgapxvpsey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CNIL — Page Intelligence artificielle</w:t>
        </w:r>
      </w:hyperlink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 — Dernière publication : 26/08/2026 (hors fenêtre stricte)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⚠️ (PDF accessible) </w:t>
      </w:r>
      <w:hyperlink w:history="1" r:id="rIdrwvohnafpaw7ndfr_jxhw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Conseil de l'UE — Communiqués de presse / CM 3635/26</w:t>
        </w:r>
      </w:hyperlink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 — Page principale 403 — CM 3635/26 cité via WebSearch + PDF data.consilium.europa.eu (HTTP 200)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⛔ </w:t>
      </w: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artificialintelligenceact.eu (Future of Life Institute)</w:t>
      </w: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 — Source morte — rendu JavaScript côté client, non extractible en headless (constaté juillet et août 2026, ne plus tenter)</w:t>
      </w:r>
    </w:p>
    <w:p>
      <w:pPr>
        <w:spacing w:after="60"/>
      </w:pPr>
      <w:r>
        <w:rPr>
          <w:sz w:val="4"/>
          <w:szCs w:val="4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Décompte : 3 ✅ (exploitées avec contenu repris dans le corps) + 2 consultées sans nouveauté + 1 ⚠️ (403, données via WebSearch + PDF) + 1 ⛔ — sur 7 sources documentaires tentées. EUR-Lex non directement interrogée dans cette exécution — les références réglementaires (règl. 2024/1689 et 2026/1744) proviennent des sources ✅ ci-dessus.</w:t>
      </w:r>
    </w:p>
    <w:p>
      <w:pPr>
        <w:spacing w:after="16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🔜 À surveiller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2 décembre 2026 (J-89) — Fin période transitoire art. 50 §2 : vérifier la conformité de tout outil IA générative utilisé en production avant le 2/08/2026.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Désignation officielle des autorités nationales françaises — suivre les annonces du Gouvernement et de la CNIL (volet numérique du DDADUE).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Lignes directrices de la Commission européenne sur l'art. 50 — attendues avant le 2/12/2026, aucune publication dans la fenêtre.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Article IAPP du 02/09 sur les chatbots médicaux (MEMBER) : à lire intégralement si accès IAPP disponible.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Guide HAS / CNIL "Accompagner le bon usage des systèmes d'intelligence artificielle en contexte de soins" (février 2026) : ressource sectorielle à mobiliser pour l'évaluation HAS (critères gouvernance numérique).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📝 Journal des corrections</w:t>
      </w:r>
    </w:p>
    <w:p>
      <w:pPr>
        <w:spacing w:after="80" w:before="80"/>
      </w:pPr>
      <w:r>
        <w:rPr>
          <w:rFonts w:ascii="Calibri" w:cs="Calibri" w:eastAsia="Calibri" w:hAnsi="Calibri"/>
          <w:i/>
          <w:iCs/>
          <w:color w:val="1B3A6B"/>
          <w:sz w:val="22"/>
          <w:szCs w:val="22"/>
        </w:rPr>
        <w:t xml:space="preserve">Correction apportée le 4 septembre 2026 après relecture. La formulation d'origine est conservée ci-dessous.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1. « un chatbot famililles » —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section « Impacts pour les ESSMS », rappel opérationnel sur l'article 50. Coquille de frappe, devenue « un chatbot familles ». Aucun autre point n'a été repris : la chronologie réglementaire a été vérifiée ligne à ligne sur l'AI Act Service Desk — y compris l'échéance du 2 décembre 2026 rattachée à l'article 50(2) — et les dix URL citées répondent toutes 200.</w:t>
      </w:r>
    </w:p>
    <w:p>
      <w:pPr>
        <w:spacing w:before="500"/>
        <w:jc w:val="center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Job ai-act-veille | Claude Code — Veille hebdomadaire automatisée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zfyfgpyfi5rdcmtopy9h" Type="http://schemas.openxmlformats.org/officeDocument/2006/relationships/hyperlink" Target="https://data.consilium.europa.eu/doc/document/CM-3635-2026-INIT/en/pdf" TargetMode="External"/><Relationship Id="rIdwjc3wjoc__z-szry6guh2" Type="http://schemas.openxmlformats.org/officeDocument/2006/relationships/hyperlink" Target="https://ai-act-service-desk.ec.europa.eu/en/ai-act/timeline/timeline-implementation-eu-ai-act" TargetMode="External"/><Relationship Id="rIdahwztqbbvr2sw5ynilqcr" Type="http://schemas.openxmlformats.org/officeDocument/2006/relationships/hyperlink" Target="https://iapp.org/news/a/the-ciso-s-new-privacy-mandate-in-enterprise-ai-governance" TargetMode="External"/><Relationship Id="rIdi0wtuw-izotboifwczfsa" Type="http://schemas.openxmlformats.org/officeDocument/2006/relationships/hyperlink" Target="https://iapp.org/news/a/patient-rights-and-ai-medical-chatbots-alignment-between-the-gdpr-and-eu-ai-act" TargetMode="External"/><Relationship Id="rIdqkucxjcckbb1qvxllsyeg" Type="http://schemas.openxmlformats.org/officeDocument/2006/relationships/hyperlink" Target="https://iapp.org/news/a/a-view-from-brussels-creative-and-ai-a-case-of-david-and-goliath" TargetMode="External"/><Relationship Id="rId7w9zosnahlpatm7qqvkv-" Type="http://schemas.openxmlformats.org/officeDocument/2006/relationships/hyperlink" Target="https://iapp.org/news/a/four-clocks-one-incident-what-the-cra-adds-to-eu-incident-notifications" TargetMode="External"/><Relationship Id="rIdbzpux9svvt14mei_8z0w7" Type="http://schemas.openxmlformats.org/officeDocument/2006/relationships/hyperlink" Target="https://www.cnil.fr/fr/entree-en-vigueur-du-reglement-europeen-sur-lia-les-premieres-questions-reponses-de-la-cnil" TargetMode="External"/><Relationship Id="rId8sifpzajnupwuimg0z8it" Type="http://schemas.openxmlformats.org/officeDocument/2006/relationships/hyperlink" Target="https://ai-act-service-desk.ec.europa.eu/en/ai-act/timeline/timeline-implementation-eu-ai-act" TargetMode="External"/><Relationship Id="rIdeiki_rfih0jixgwlxhe3o" Type="http://schemas.openxmlformats.org/officeDocument/2006/relationships/hyperlink" Target="https://iapp.org/news/" TargetMode="External"/><Relationship Id="rIdokmciesahndhfjlfxyy9e" Type="http://schemas.openxmlformats.org/officeDocument/2006/relationships/hyperlink" Target="https://www.cnil.fr/fr/entree-en-vigueur-du-reglement-europeen-sur-lia-les-premieres-questions-reponses-de-la-cnil" TargetMode="External"/><Relationship Id="rIddsnnayu8h6bndwgqumh5-" Type="http://schemas.openxmlformats.org/officeDocument/2006/relationships/hyperlink" Target="https://digital-strategy.ec.europa.eu/en/policies/regulatory-framework-ai" TargetMode="External"/><Relationship Id="rIdovwjuugw05mwgapxvpsey" Type="http://schemas.openxmlformats.org/officeDocument/2006/relationships/hyperlink" Target="https://www.cnil.fr/fr/intelligence-artificielle" TargetMode="External"/><Relationship Id="rIdrwvohnafpaw7ndfr_jxhw" Type="http://schemas.openxmlformats.org/officeDocument/2006/relationships/hyperlink" Target="https://data.consilium.europa.eu/doc/document/CM-3635-2026-INIT/en/pdf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2026-09-04T07:13:22.093Z</dcterms:created>
  <dcterms:modified xsi:type="dcterms:W3CDTF">2026-09-04T07:13:22.112Z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