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Stoïcisme n°13 — Zénon, Chrysippe et l'ancien Portique</w:t>
      </w:r>
    </w:p>
    <w:p>
      <w:pPr>
        <w:spacing w:after="80" w:before="80"/>
        <w:jc w:val="center"/>
      </w:pPr>
      <w:r>
        <w:rPr>
          <w:rFonts w:ascii="Times New Roman" w:cs="Times New Roman" w:eastAsia="Times New Roman" w:hAnsi="Times New Roman"/>
          <w:i/>
          <w:iCs/>
          <w:color w:val="555555"/>
          <w:sz w:val="22"/>
          <w:szCs w:val="22"/>
        </w:rPr>
        <w:t xml:space="preserve">3 septembre 2026   ·   Leçon 13 / 20</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pourras nommer et situer les trois fondateurs de l'ancien Portique (Zénon, Cléanthe, Chrysippe), distinguer leurs contributions respectives, et comprendre comment la doctrine stoïcienne initiale a été systématisée avant de parvenir aux figures que tu connais déjà (Épictète, Marc Aurèle, Sénèque).</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(n°12) : Musonius Rufus t'a montré le stoïcisme comme discipline incarnée, appliquée au quotidien. Cette leçon remonte aux sources — aux trois scholiarques qui ont fondé et structuré l'édifice philosophique que tu pratiques depuis le début du parcours.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L'ancien Portique : trois hommes, un édifice</w:t>
      </w:r>
    </w:p>
    <w:p>
      <w:pPr>
        <w:pStyle w:val="Heading3"/>
        <w:spacing w:after="80" w:before="240"/>
      </w:pPr>
      <w:r>
        <w:rPr>
          <w:rFonts w:ascii="Times New Roman" w:cs="Times New Roman" w:eastAsia="Times New Roman" w:hAnsi="Times New Roman"/>
          <w:b/>
          <w:bCs/>
          <w:color w:val="1F2937"/>
          <w:sz w:val="26"/>
          <w:szCs w:val="26"/>
        </w:rPr>
        <w:t xml:space="preserve">1. Zénon de Kition (c. 334 – 262 av. J.-C.) : le fondateur</w:t>
      </w:r>
    </w:p>
    <w:p>
      <w:pPr>
        <w:spacing w:after="80" w:before="80"/>
      </w:pPr>
      <w:r>
        <w:rPr>
          <w:rFonts w:ascii="Times New Roman" w:cs="Times New Roman" w:eastAsia="Times New Roman" w:hAnsi="Times New Roman"/>
          <w:b w:val="false"/>
          <w:bCs w:val="false"/>
          <w:i w:val="false"/>
          <w:iCs w:val="false"/>
          <w:color w:val="1F2937"/>
          <w:sz w:val="22"/>
          <w:szCs w:val="22"/>
        </w:rPr>
        <w:t xml:space="preserve">Né à Kition (Chypre), Zénon arrive à Athènes après un naufrage — événement dont la tradition fait volontiers un symbole : perdre ses biens pour gagner la philosophie. Il étudie d'abord avec Cratès le Cynique, puis fréquente les Académiciens et les Mégariques.</w:t>
      </w:r>
    </w:p>
    <w:p>
      <w:pPr>
        <w:spacing w:after="80" w:before="80"/>
      </w:pPr>
      <w:r>
        <w:rPr>
          <w:rFonts w:ascii="Times New Roman" w:cs="Times New Roman" w:eastAsia="Times New Roman" w:hAnsi="Times New Roman"/>
          <w:b w:val="false"/>
          <w:bCs w:val="false"/>
          <w:i w:val="false"/>
          <w:iCs w:val="false"/>
          <w:color w:val="1F2937"/>
          <w:sz w:val="22"/>
          <w:szCs w:val="22"/>
        </w:rPr>
        <w:t xml:space="preserve">Vers 301 av. J.-C., il commence à enseigner sous le Portique peint d'Athènes (la Stoa Poikilè, décorée de fresques des guerres médiques). Le lieu n'est pas anodin : c'est un espace public, ouvert, non lié à une institution fermée comme l'Académie de Platon. Ses disciples seront appelés « stoïciens ».</w:t>
      </w:r>
    </w:p>
    <w:p>
      <w:pPr>
        <w:spacing w:after="80" w:before="80"/>
      </w:pPr>
      <w:r>
        <w:rPr>
          <w:rFonts w:ascii="Times New Roman" w:cs="Times New Roman" w:eastAsia="Times New Roman" w:hAnsi="Times New Roman"/>
          <w:b w:val="false"/>
          <w:bCs w:val="false"/>
          <w:i w:val="false"/>
          <w:iCs w:val="false"/>
          <w:color w:val="1F2937"/>
          <w:sz w:val="22"/>
          <w:szCs w:val="22"/>
        </w:rPr>
        <w:t xml:space="preserve">Doctrine centrale de Zénon : la vertu est le seul vrai bien ; tout le reste — santé, richesse, réputation — est moralement « indifférent ». Il formule le critère du bonheur comme « vivre en accord » — Cléanthe y ajoutera « avec la nature ».</w:t>
      </w:r>
    </w:p>
    <w:p>
      <w:pPr>
        <w:spacing w:after="80" w:before="80"/>
      </w:pPr>
      <w:r>
        <w:rPr>
          <w:rFonts w:ascii="Times New Roman" w:cs="Times New Roman" w:eastAsia="Times New Roman" w:hAnsi="Times New Roman"/>
          <w:b w:val="false"/>
          <w:bCs w:val="false"/>
          <w:i w:val="false"/>
          <w:iCs w:val="false"/>
          <w:color w:val="1F2937"/>
          <w:sz w:val="22"/>
          <w:szCs w:val="22"/>
        </w:rPr>
        <w:t xml:space="preserve">Sa théorie de la connaissance distingue quatre étapes : la phantasia (impression), l'assentiment (synkatathesis), la katalepsis (appréhension certaine) et l'episteme (science). Il accompagnait cette progression d'un geste pédagogique fameux : main ouverte (impression) → main fermée (assentiment) → poing serré (katalepsis) → poing de l'autre main enserrant le premier (science dans l'âme du sage).</w:t>
      </w:r>
    </w:p>
    <w:p>
      <w:pPr>
        <w:shd w:fill="F3F4F6" w:val="clear"/>
        <w:spacing w:after="120" w:before="120"/>
        <w:ind w:left="720"/>
      </w:pPr>
      <w:r>
        <w:rPr>
          <w:rFonts w:ascii="Times New Roman" w:cs="Times New Roman" w:eastAsia="Times New Roman" w:hAnsi="Times New Roman"/>
          <w:i/>
          <w:iCs/>
          <w:color w:val="1B3A6B"/>
          <w:sz w:val="22"/>
          <w:szCs w:val="22"/>
        </w:rPr>
        <w:t xml:space="preserve">« Vivre en accord »</w:t>
      </w:r>
      <w:r>
        <w:rPr>
          <w:rFonts w:ascii="Times New Roman" w:cs="Times New Roman" w:eastAsia="Times New Roman" w:hAnsi="Times New Roman"/>
          <w:color w:val="555555"/>
          <w:sz w:val="20"/>
          <w:szCs w:val="20"/>
        </w:rPr>
        <w:t xml:space="preserve">  — formule attribuée à Zénon par Diogène Laërce, Vies des philosophes, VII</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2. Cléanthe d'Assos (c. 330 – 230 av. J.-C.) : le maillon fidèle</w:t>
      </w:r>
    </w:p>
    <w:p>
      <w:pPr>
        <w:spacing w:after="80" w:before="80"/>
      </w:pPr>
      <w:r>
        <w:rPr>
          <w:rFonts w:ascii="Times New Roman" w:cs="Times New Roman" w:eastAsia="Times New Roman" w:hAnsi="Times New Roman"/>
          <w:b w:val="false"/>
          <w:bCs w:val="false"/>
          <w:i w:val="false"/>
          <w:iCs w:val="false"/>
          <w:color w:val="1F2937"/>
          <w:sz w:val="22"/>
          <w:szCs w:val="22"/>
        </w:rPr>
        <w:t xml:space="preserve">Ancien boxeur, Cléanthe finance ses études en travaillant la nuit comme porteur d'eau — cohérence remarquable entre doctrine (la vertu s'exerce dans les conditions concrètes de vie) et existence. Il succède à Zénon comme scholarque pendant trente-deux ans.</w:t>
      </w:r>
    </w:p>
    <w:p>
      <w:pPr>
        <w:spacing w:after="80" w:before="80"/>
      </w:pPr>
      <w:r>
        <w:rPr>
          <w:rFonts w:ascii="Times New Roman" w:cs="Times New Roman" w:eastAsia="Times New Roman" w:hAnsi="Times New Roman"/>
          <w:b w:val="false"/>
          <w:bCs w:val="false"/>
          <w:i w:val="false"/>
          <w:iCs w:val="false"/>
          <w:color w:val="1F2937"/>
          <w:sz w:val="22"/>
          <w:szCs w:val="22"/>
        </w:rPr>
        <w:t xml:space="preserve">Son apport doctrinal principal : il complète la formule de Zénon en y ajoutant « avec la nature », donnant naissance à l'expression canonique du but stoïcien. Il développe aussi la théorie du tonos (tension interne) : la vertu serait un état de tension optimale du pneuma dans l'âme, ni trop lâche (vice passif) ni trop rigide.</w:t>
      </w:r>
    </w:p>
    <w:p>
      <w:pPr>
        <w:spacing w:after="80" w:before="80"/>
      </w:pPr>
      <w:r>
        <w:rPr>
          <w:rFonts w:ascii="Times New Roman" w:cs="Times New Roman" w:eastAsia="Times New Roman" w:hAnsi="Times New Roman"/>
          <w:b w:val="false"/>
          <w:bCs w:val="false"/>
          <w:i w:val="false"/>
          <w:iCs w:val="false"/>
          <w:color w:val="1F2937"/>
          <w:sz w:val="22"/>
          <w:szCs w:val="22"/>
        </w:rPr>
        <w:t xml:space="preserve">Son Hymne à Zeus est la seule grande œuvre conservée de l'ancien Portique. Elle célèbre le logos divin comme principe ordonnateur de l'univers, à la fois rationnel et providentiel. C'est une source primaire irremplaçable pour comprendre la piété stoïcienne.</w:t>
      </w:r>
    </w:p>
    <w:p>
      <w:pPr>
        <w:shd w:fill="F3F4F6" w:val="clear"/>
        <w:spacing w:after="120" w:before="120"/>
        <w:ind w:left="720"/>
      </w:pPr>
      <w:r>
        <w:rPr>
          <w:rFonts w:ascii="Times New Roman" w:cs="Times New Roman" w:eastAsia="Times New Roman" w:hAnsi="Times New Roman"/>
          <w:i/>
          <w:iCs/>
          <w:color w:val="1B3A6B"/>
          <w:sz w:val="22"/>
          <w:szCs w:val="22"/>
        </w:rPr>
        <w:t xml:space="preserve">« Zeus, ton nom varié est loué par des hymbes nombreux — mais ce que j'ai pu apprendre, c'est ta loi éternelle. »</w:t>
      </w:r>
      <w:r>
        <w:rPr>
          <w:rFonts w:ascii="Times New Roman" w:cs="Times New Roman" w:eastAsia="Times New Roman" w:hAnsi="Times New Roman"/>
          <w:color w:val="555555"/>
          <w:sz w:val="20"/>
          <w:szCs w:val="20"/>
        </w:rPr>
        <w:t xml:space="preserve">  — Cléanthe, Hymne à Zeus (synthèse de l'introduction, non citation mot pour mot)</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3. Chrysippe de Soles (c. 279 – 206 av. J.-C.) : le second fondateur</w:t>
      </w:r>
    </w:p>
    <w:p>
      <w:pPr>
        <w:spacing w:after="80" w:before="80"/>
      </w:pPr>
      <w:r>
        <w:rPr>
          <w:rFonts w:ascii="Times New Roman" w:cs="Times New Roman" w:eastAsia="Times New Roman" w:hAnsi="Times New Roman"/>
          <w:b w:val="false"/>
          <w:bCs w:val="false"/>
          <w:i w:val="false"/>
          <w:iCs w:val="false"/>
          <w:color w:val="1F2937"/>
          <w:sz w:val="22"/>
          <w:szCs w:val="22"/>
        </w:rPr>
        <w:t xml:space="preserve">Né en Cilicie, Chrysippe est le troisième scholarque. Il aurait rédigé plus de 705 ouvrages — une prolificité sans équivalent dans l'Antiquité. Paradoxalement, aucun ne nous est parvenu intégralement : nous ne connaissons sa pensée qu'à travers des fragments, des résumés et des adversaires (notamment Plutarque, qui lui est hostile).</w:t>
      </w:r>
    </w:p>
    <w:p>
      <w:pPr>
        <w:spacing w:after="80" w:before="80"/>
      </w:pPr>
      <w:r>
        <w:rPr>
          <w:rFonts w:ascii="Times New Roman" w:cs="Times New Roman" w:eastAsia="Times New Roman" w:hAnsi="Times New Roman"/>
          <w:b w:val="false"/>
          <w:bCs w:val="false"/>
          <w:i w:val="false"/>
          <w:iCs w:val="false"/>
          <w:color w:val="1F2937"/>
          <w:sz w:val="22"/>
          <w:szCs w:val="22"/>
        </w:rPr>
        <w:t xml:space="preserve">L'adage antique dit : « Sans Chrysippe, il n'y aurait pas eu de Portique. » Ce qu'il a fait : face aux attaques sceptiques de la Nouvelle Académie (Arcésilas, puis Carnéade), il a systématisé et défendu chaque partie de la doctrine stoïcienne — logique, physique, éthique — en répondant point par point aux objections.</w:t>
      </w:r>
    </w:p>
    <w:p>
      <w:pPr>
        <w:spacing w:after="80" w:before="80"/>
      </w:pPr>
      <w:r>
        <w:rPr>
          <w:rFonts w:ascii="Times New Roman" w:cs="Times New Roman" w:eastAsia="Times New Roman" w:hAnsi="Times New Roman"/>
          <w:b w:val="false"/>
          <w:bCs w:val="false"/>
          <w:i w:val="false"/>
          <w:iCs w:val="false"/>
          <w:color w:val="1F2937"/>
          <w:sz w:val="22"/>
          <w:szCs w:val="22"/>
        </w:rPr>
        <w:t xml:space="preserve">Sa contribution à la logique est historiquement majeure : il fonde la logique propositionnelle, distincte de la logique des termes d'Aristote. Il établit cinq formes syllogistiques indémontrables qui anticipent ce que la logique moderne appellera modus ponens et modus tollens. C'est une révolution intellectuelle dont les philosophes de l'Antiquité tardive et les logiciens du XXe siècle (Łukasiewicz) ont reconnu l'importance.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le problème du destin et de la liberté, Chrysippe développe une position compatibiliste : le destin (heimarmenê) détermine le cours des choses, mais l'assentiment que nous donnons aux impressions relève de notre propre nature — et c'est là que réside la responsabilité morale.</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4. Les doctrines fondamentales de l'ancien Portique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système stoïcien est tripartite : logique, physique, éthique. La métaphore antique dit que la logique est les os et les tendons, la physique la chair et le sang, l'éthique l'âme. Les trois parties sont indissociables : comprendre l'éthique exige de connaître la physique (ce qu'est le cosmos et notre place en lui) et la logique (comment former des jugements fiables).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Domaine</w:t>
            </w:r>
          </w:p>
        </w:tc>
        <w:tc>
          <w:tcPr>
            <w:shd w:fill="1B3A6B" w:val="clear"/>
          </w:tcPr>
          <w:p>
            <w:r>
              <w:rPr>
                <w:rFonts w:ascii="Times New Roman" w:cs="Times New Roman" w:eastAsia="Times New Roman" w:hAnsi="Times New Roman"/>
                <w:b/>
                <w:bCs/>
                <w:color w:val="FFFFFF"/>
                <w:sz w:val="20"/>
                <w:szCs w:val="20"/>
              </w:rPr>
              <w:t xml:space="preserve">Doctrine centrale</w:t>
            </w:r>
          </w:p>
        </w:tc>
        <w:tc>
          <w:tcPr>
            <w:shd w:fill="1B3A6B" w:val="clear"/>
          </w:tcPr>
          <w:p>
            <w:r>
              <w:rPr>
                <w:rFonts w:ascii="Times New Roman" w:cs="Times New Roman" w:eastAsia="Times New Roman" w:hAnsi="Times New Roman"/>
                <w:b/>
                <w:bCs/>
                <w:color w:val="FFFFFF"/>
                <w:sz w:val="20"/>
                <w:szCs w:val="20"/>
              </w:rPr>
              <w:t xml:space="preserve">Terme grec clé</w:t>
            </w:r>
          </w:p>
        </w:tc>
      </w:tr>
      <w:tr>
        <w:tc>
          <w:tcPr>
            <w:shd w:fill="FFFFFF" w:val="clear"/>
          </w:tcPr>
          <w:p>
            <w:r>
              <w:rPr>
                <w:rFonts w:ascii="Times New Roman" w:cs="Times New Roman" w:eastAsia="Times New Roman" w:hAnsi="Times New Roman"/>
                <w:b w:val="false"/>
                <w:bCs w:val="false"/>
                <w:color w:val="1F2937"/>
                <w:sz w:val="20"/>
                <w:szCs w:val="20"/>
              </w:rPr>
              <w:t xml:space="preserve">Logique</w:t>
            </w:r>
          </w:p>
        </w:tc>
        <w:tc>
          <w:tcPr>
            <w:shd w:fill="EEF2F7" w:val="clear"/>
          </w:tcPr>
          <w:p>
            <w:r>
              <w:rPr>
                <w:rFonts w:ascii="Times New Roman" w:cs="Times New Roman" w:eastAsia="Times New Roman" w:hAnsi="Times New Roman"/>
                <w:b w:val="false"/>
                <w:bCs w:val="false"/>
                <w:color w:val="1F2937"/>
                <w:sz w:val="20"/>
                <w:szCs w:val="20"/>
              </w:rPr>
              <w:t xml:space="preserve">Assentiment aux impressions kataleptiques ; fondement de la connaissance certaine</w:t>
            </w:r>
          </w:p>
        </w:tc>
        <w:tc>
          <w:tcPr>
            <w:shd w:fill="FFFFFF" w:val="clear"/>
          </w:tcPr>
          <w:p>
            <w:r>
              <w:rPr>
                <w:rFonts w:ascii="Times New Roman" w:cs="Times New Roman" w:eastAsia="Times New Roman" w:hAnsi="Times New Roman"/>
                <w:b w:val="false"/>
                <w:bCs w:val="false"/>
                <w:color w:val="1F2937"/>
                <w:sz w:val="20"/>
                <w:szCs w:val="20"/>
              </w:rPr>
              <w:t xml:space="preserve">katalêpsis, synkatathesis</w:t>
            </w:r>
          </w:p>
        </w:tc>
      </w:tr>
      <w:tr>
        <w:tc>
          <w:tcPr>
            <w:shd w:fill="FFFFFF" w:val="clear"/>
          </w:tcPr>
          <w:p>
            <w:r>
              <w:rPr>
                <w:rFonts w:ascii="Times New Roman" w:cs="Times New Roman" w:eastAsia="Times New Roman" w:hAnsi="Times New Roman"/>
                <w:b w:val="false"/>
                <w:bCs w:val="false"/>
                <w:color w:val="1F2937"/>
                <w:sz w:val="20"/>
                <w:szCs w:val="20"/>
              </w:rPr>
              <w:t xml:space="preserve">Physique</w:t>
            </w:r>
          </w:p>
        </w:tc>
        <w:tc>
          <w:tcPr>
            <w:shd w:fill="EEF2F7" w:val="clear"/>
          </w:tcPr>
          <w:p>
            <w:r>
              <w:rPr>
                <w:rFonts w:ascii="Times New Roman" w:cs="Times New Roman" w:eastAsia="Times New Roman" w:hAnsi="Times New Roman"/>
                <w:b w:val="false"/>
                <w:bCs w:val="false"/>
                <w:color w:val="1F2937"/>
                <w:sz w:val="20"/>
                <w:szCs w:val="20"/>
              </w:rPr>
              <w:t xml:space="preserve">Logos universel + pneuma matériel animant tout le cosmos</w:t>
            </w:r>
          </w:p>
        </w:tc>
        <w:tc>
          <w:tcPr>
            <w:shd w:fill="FFFFFF" w:val="clear"/>
          </w:tcPr>
          <w:p>
            <w:r>
              <w:rPr>
                <w:rFonts w:ascii="Times New Roman" w:cs="Times New Roman" w:eastAsia="Times New Roman" w:hAnsi="Times New Roman"/>
                <w:b w:val="false"/>
                <w:bCs w:val="false"/>
                <w:color w:val="1F2937"/>
                <w:sz w:val="20"/>
                <w:szCs w:val="20"/>
              </w:rPr>
              <w:t xml:space="preserve">logos, pneuma</w:t>
            </w:r>
          </w:p>
        </w:tc>
      </w:tr>
      <w:tr>
        <w:tc>
          <w:tcPr>
            <w:shd w:fill="FFFFFF" w:val="clear"/>
          </w:tcPr>
          <w:p>
            <w:r>
              <w:rPr>
                <w:rFonts w:ascii="Times New Roman" w:cs="Times New Roman" w:eastAsia="Times New Roman" w:hAnsi="Times New Roman"/>
                <w:b w:val="false"/>
                <w:bCs w:val="false"/>
                <w:color w:val="1F2937"/>
                <w:sz w:val="20"/>
                <w:szCs w:val="20"/>
              </w:rPr>
              <w:t xml:space="preserve">Éthique</w:t>
            </w:r>
          </w:p>
        </w:tc>
        <w:tc>
          <w:tcPr>
            <w:shd w:fill="EEF2F7" w:val="clear"/>
          </w:tcPr>
          <w:p>
            <w:r>
              <w:rPr>
                <w:rFonts w:ascii="Times New Roman" w:cs="Times New Roman" w:eastAsia="Times New Roman" w:hAnsi="Times New Roman"/>
                <w:b w:val="false"/>
                <w:bCs w:val="false"/>
                <w:color w:val="1F2937"/>
                <w:sz w:val="20"/>
                <w:szCs w:val="20"/>
              </w:rPr>
              <w:t xml:space="preserve">Vertu seul bien ; indifférents préférés</w:t>
            </w:r>
          </w:p>
        </w:tc>
        <w:tc>
          <w:tcPr>
            <w:shd w:fill="FFFFFF" w:val="clear"/>
          </w:tcPr>
          <w:p>
            <w:r>
              <w:rPr>
                <w:rFonts w:ascii="Times New Roman" w:cs="Times New Roman" w:eastAsia="Times New Roman" w:hAnsi="Times New Roman"/>
                <w:b w:val="false"/>
                <w:bCs w:val="false"/>
                <w:color w:val="1F2937"/>
                <w:sz w:val="20"/>
                <w:szCs w:val="20"/>
              </w:rPr>
              <w:t xml:space="preserve">aretê, adiaphora proêgmena</w:t>
            </w:r>
          </w:p>
        </w:tc>
      </w:tr>
      <w:tr>
        <w:tc>
          <w:tcPr>
            <w:shd w:fill="FFFFFF" w:val="clear"/>
          </w:tcPr>
          <w:p>
            <w:r>
              <w:rPr>
                <w:rFonts w:ascii="Times New Roman" w:cs="Times New Roman" w:eastAsia="Times New Roman" w:hAnsi="Times New Roman"/>
                <w:b w:val="false"/>
                <w:bCs w:val="false"/>
                <w:color w:val="1F2937"/>
                <w:sz w:val="20"/>
                <w:szCs w:val="20"/>
              </w:rPr>
              <w:t xml:space="preserve">Cosmologie</w:t>
            </w:r>
          </w:p>
        </w:tc>
        <w:tc>
          <w:tcPr>
            <w:shd w:fill="EEF2F7" w:val="clear"/>
          </w:tcPr>
          <w:p>
            <w:r>
              <w:rPr>
                <w:rFonts w:ascii="Times New Roman" w:cs="Times New Roman" w:eastAsia="Times New Roman" w:hAnsi="Times New Roman"/>
                <w:b w:val="false"/>
                <w:bCs w:val="false"/>
                <w:color w:val="1F2937"/>
                <w:sz w:val="20"/>
                <w:szCs w:val="20"/>
              </w:rPr>
              <w:t xml:space="preserve">Déterminisme providentiel ; conflagration cyclique</w:t>
            </w:r>
          </w:p>
        </w:tc>
        <w:tc>
          <w:tcPr>
            <w:shd w:fill="FFFFFF" w:val="clear"/>
          </w:tcPr>
          <w:p>
            <w:r>
              <w:rPr>
                <w:rFonts w:ascii="Times New Roman" w:cs="Times New Roman" w:eastAsia="Times New Roman" w:hAnsi="Times New Roman"/>
                <w:b w:val="false"/>
                <w:bCs w:val="false"/>
                <w:color w:val="1F2937"/>
                <w:sz w:val="20"/>
                <w:szCs w:val="20"/>
              </w:rPr>
              <w:t xml:space="preserve">heimarmenê, ekpyrôsis</w:t>
            </w:r>
          </w:p>
        </w:tc>
      </w:tr>
      <w:tr>
        <w:tc>
          <w:tcPr>
            <w:shd w:fill="FFFFFF" w:val="clear"/>
          </w:tcPr>
          <w:p>
            <w:r>
              <w:rPr>
                <w:rFonts w:ascii="Times New Roman" w:cs="Times New Roman" w:eastAsia="Times New Roman" w:hAnsi="Times New Roman"/>
                <w:b w:val="false"/>
                <w:bCs w:val="false"/>
                <w:color w:val="1F2937"/>
                <w:sz w:val="20"/>
                <w:szCs w:val="20"/>
              </w:rPr>
              <w:t xml:space="preserve">Anthropologie</w:t>
            </w:r>
          </w:p>
        </w:tc>
        <w:tc>
          <w:tcPr>
            <w:shd w:fill="EEF2F7" w:val="clear"/>
          </w:tcPr>
          <w:p>
            <w:r>
              <w:rPr>
                <w:rFonts w:ascii="Times New Roman" w:cs="Times New Roman" w:eastAsia="Times New Roman" w:hAnsi="Times New Roman"/>
                <w:b w:val="false"/>
                <w:bCs w:val="false"/>
                <w:color w:val="1F2937"/>
                <w:sz w:val="20"/>
                <w:szCs w:val="20"/>
              </w:rPr>
              <w:t xml:space="preserve">Attachement naturel progressif de soi vers autrui</w:t>
            </w:r>
          </w:p>
        </w:tc>
        <w:tc>
          <w:tcPr>
            <w:shd w:fill="FFFFFF" w:val="clear"/>
          </w:tcPr>
          <w:p>
            <w:r>
              <w:rPr>
                <w:rFonts w:ascii="Times New Roman" w:cs="Times New Roman" w:eastAsia="Times New Roman" w:hAnsi="Times New Roman"/>
                <w:b w:val="false"/>
                <w:bCs w:val="false"/>
                <w:color w:val="1F2937"/>
                <w:sz w:val="20"/>
                <w:szCs w:val="20"/>
              </w:rPr>
              <w:t xml:space="preserve">oikeiôsis</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Note sur les sources textuelles : aucune œuvre originale de Zénon, Cléanthe ou Chrysippe n'est parvenue intacte. Les sources principales sont Diogène Laërce (Vies des philosophes, Livre VII), Cicéron, Plutarque, Sextus Empiricus et Stobée. En grec et latin bilingue, le recueil de référence reste Long &amp; Sedley, The Hellenistic Philosophers (Cambridge, 1987).</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 d'apprentissage actif</w:t>
      </w:r>
    </w:p>
    <w:p>
      <w:pPr>
        <w:pStyle w:val="Heading3"/>
        <w:spacing w:after="80" w:before="240"/>
      </w:pPr>
      <w:r>
        <w:rPr>
          <w:rFonts w:ascii="Times New Roman" w:cs="Times New Roman" w:eastAsia="Times New Roman" w:hAnsi="Times New Roman"/>
          <w:b/>
          <w:bCs/>
          <w:color w:val="1F2937"/>
          <w:sz w:val="26"/>
          <w:szCs w:val="26"/>
        </w:rPr>
        <w:t xml:space="preserve">Exercice 1 — Cartographie vivante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une feuille blanche, crée une carte mentale articulée en trois nœuds principaux : ZÉNON, CLÉANTHE, CHRYSIPPE. Pour chacun, note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Un fait biographique marquant (l'événement ou la condition de vie qui éclaire sa philosophie)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Sa contribution doctrinale principale (en une phrase)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Ce qui le relie au suivant (transmission, ajout, défense)</w:t>
      </w:r>
    </w:p>
    <w:p>
      <w:pPr>
        <w:spacing w:after="80" w:before="80"/>
      </w:pPr>
      <w:r>
        <w:rPr>
          <w:rFonts w:ascii="Times New Roman" w:cs="Times New Roman" w:eastAsia="Times New Roman" w:hAnsi="Times New Roman"/>
          <w:b w:val="false"/>
          <w:bCs w:val="false"/>
          <w:i w:val="false"/>
          <w:iCs w:val="false"/>
          <w:color w:val="1F2937"/>
          <w:sz w:val="22"/>
          <w:szCs w:val="22"/>
        </w:rPr>
        <w:t xml:space="preserve">Puis relie les trois nœuds à un quatrième au centre : L'ANCIEN PORTIQUE. Sur les liens, inscris ce que ce trio a légué à l'ensemble du stoïcisme.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Corrigé indicatif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Zénon → formule éthique initiale (« vivre en accord »), méthode kataleptique, fondation du lieu d'enseignement.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Cléanthe → complète la formule (« avec la nature »), ajoute le tonos, conserve l'Hymne à Zeus.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Chrysippe → systématise face aux sceptiques, crée la logique propositionnelle, défend le compatibilisme.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Lien : chacun répond à un besoin de l'école (fondation → conservation → défense/systématisation).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Cohérence avec la théorie : la tripartition logique/physique/éthique est le cadre que Chrysippe a systématisé ; Zénon et Cléanthe en avaient posé les éléments.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2 — Le geste de Zénon (mémorisation et ancrage)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10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Reproduis physiquement le geste pédagogique de Zénon décrit dans la théorie. Pose-toi ensuite ces questions à voix haute, en t'appliquant une situation concrète de la journée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Quelle impression (phantasia) ai-je reçue ? Est-elle fidèle à la réalité ou déformée par mes attentes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Quel assentiment (synkatathesis) ai-je donné ? Était-il précipité ou réfléchi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Aurais-je pu « suspendre l'assentiment » (epoché) si j'avais douté de l'impression ?</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ta réponse en deux ou trois phrases dans ton journal stoïcien.</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Pourquoi cet exercice : la catalepsis est la porte d'entrée de toute la pratique stoïcienne. Avant de désirer, agir ou juger, Zénon pose une question : est-ce que je vois vraiment ce que je crois voir ? L'exercice rend le concept concret, ancré dans une situation vécue aujourd'hui — et non dans un texte abstrait.</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3 — Journal stoïcien : la leçon du fragment (réflexion écrite)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Chrysippe est l'un des philosophes les plus cités de l'Antiquité, et pourtant aucune de ses œuvres n'est intacte. Nous ne le connaissons qu'à travers des paraphrases, des résumés d'adversaires, des fragments.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Médite sur cette situation paradoxale et réponds dans ton journal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Qu'est-ce que cela change, pour toi lecteur, de savoir que les idées que tu appliques ont été transmises de cette façon — indirectement, partiellement, parfois par des détracteurs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Y a-t-il une idée que tu as attribuée à Épictète ou à Marc Aurèle au fil des leçons précédentes, et qui pourrait en réalité venir de Chrysippe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 doctrine reste-t-elle valide quand on sait qu'on ne peut pas lire son auteur principal en direct ?</w:t>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n'a pas de corrigé-type : il s'agit de ton rapport personnel à la transmission des idées. La réponse honnête est plus précieuse qu'une réponse correcte.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Défendre la tripartition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Un ami te dit : « La philosophie stoïcienne, c'est juste du bon sens : ne t'énerve pas pour ce que tu ne contrôles pas. Pourquoi compliquer avec de la logique et de la physique ? »</w:t>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une réponse de 200 à 300 mots qui explique, sans jargon technique, pourquoi Chrysippe avait raison de traiter les trois parties comme indissociables. Aide-toi des éléments suivants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je ne comprends pas comment le cosmos fonctionne (physique), comment puis-je savoir ce qui dépend de moi ou non ? La dichotomie du contrôle n'est pas un simple slogan : elle suppose une vision du monde.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Si je n'ai pas d'outil pour distinguer une impression fiable d'une impression trompeuse (logique), comment puis-je ne pas donner un mauvais assentiment ? L'éthique sans logique est aveugle.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L'éthique est le but, mais elle n'est pas autosuffisante : elle repose sur la physique (ce qu'est la nature) et sur la logique (comment on y accède par le jugement).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Critère de réussite : ta réponse doit être compréhensible par quelqu'un qui n'a jamais lu de philosophie, tout en restant fidèle aux distinctions de la leçon.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b w:val="false"/>
          <w:bCs w:val="false"/>
          <w:i w:val="false"/>
          <w:iCs w:val="false"/>
          <w:color w:val="1F2937"/>
          <w:sz w:val="22"/>
          <w:szCs w:val="22"/>
        </w:rPr>
        <w:t xml:space="preserve">La question de la transmission fragmentée que soulève l'étude de Chrysippe n'est pas sans écho dans un contexte institutionnel. Les pratiques professionnelles d'une équipe éducative se transmettent aussi de façon indirecte : par l'observation, les transmissions orales, les habitudes de service. L'essentiel n'est pas toujours écrit, et ce qui est écrit est parfois paraphrasé ou résumé.</w:t>
      </w:r>
    </w:p>
    <w:p>
      <w:pPr>
        <w:spacing w:after="80" w:before="80"/>
      </w:pPr>
      <w:r>
        <w:rPr>
          <w:rFonts w:ascii="Times New Roman" w:cs="Times New Roman" w:eastAsia="Times New Roman" w:hAnsi="Times New Roman"/>
          <w:b w:val="false"/>
          <w:bCs w:val="false"/>
          <w:i w:val="false"/>
          <w:iCs w:val="false"/>
          <w:color w:val="1F2937"/>
          <w:sz w:val="22"/>
          <w:szCs w:val="22"/>
        </w:rPr>
        <w:t xml:space="preserve">La démarche qualité en ESSMS — notamment la traçabilité des pratiques dans les projets personnalisés et les comptes rendus de réunions — cherche précisément à réduire cette part d'ombre. Pas pour tout formaliser, mais pour que les gestes professionnels essentiels ne soient pas perdus entre deux générations d'équipe.</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 ce parallèle est une observation de bon sens professionnel — il ne s'appuie sur aucune recommandation HAS spécifiquement identifiée dans cette leçon.)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ces sources ont été consultées et testées (HTTP 200) lors de la rédaction de cette leçon.</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1. </w:t>
      </w:r>
      <w:hyperlink w:history="1" r:id="rIdplqzuj9bewyd_z0jjlmq6">
        <w:r>
          <w:rPr>
            <w:rFonts w:ascii="Times New Roman" w:cs="Times New Roman" w:eastAsia="Times New Roman" w:hAnsi="Times New Roman"/>
            <w:color w:val="1155CC"/>
            <w:sz w:val="22"/>
            <w:szCs w:val="22"/>
            <w:u w:val="single"/>
          </w:rPr>
          <w:t xml:space="preserve">Stoicism — Stanford Encyclopedia of Philosophy</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Référence académique de premier rang : histoire du stoïcisme de Zénon aux néo-stoïciens, avec bibliographie complète.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2. </w:t>
      </w:r>
      <w:hyperlink w:history="1" r:id="rId06hq_ik1uw3fatcjoa7nu">
        <w:r>
          <w:rPr>
            <w:rFonts w:ascii="Times New Roman" w:cs="Times New Roman" w:eastAsia="Times New Roman" w:hAnsi="Times New Roman"/>
            <w:color w:val="1155CC"/>
            <w:sz w:val="22"/>
            <w:szCs w:val="22"/>
            <w:u w:val="single"/>
          </w:rPr>
          <w:t xml:space="preserve">Stoicism — Internet Encyclopedia of Philosophy</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Entrée détaillée sur la tripartition, les indifférents préférés, et la théorie des passions.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3. </w:t>
      </w:r>
      <w:hyperlink w:history="1" r:id="rIdvq9u8albsghvorknz2doh">
        <w:r>
          <w:rPr>
            <w:rFonts w:ascii="Times New Roman" w:cs="Times New Roman" w:eastAsia="Times New Roman" w:hAnsi="Times New Roman"/>
            <w:color w:val="1155CC"/>
            <w:sz w:val="22"/>
            <w:szCs w:val="22"/>
            <w:u w:val="single"/>
          </w:rPr>
          <w:t xml:space="preserve">Zeno of Citium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Biographie complète, sources primaires, influence sur les scholiarques suivants.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4. </w:t>
      </w:r>
      <w:hyperlink w:history="1" r:id="rIdkdk9ehgo_lzy4yj_mztra">
        <w:r>
          <w:rPr>
            <w:rFonts w:ascii="Times New Roman" w:cs="Times New Roman" w:eastAsia="Times New Roman" w:hAnsi="Times New Roman"/>
            <w:color w:val="1155CC"/>
            <w:sz w:val="22"/>
            <w:szCs w:val="22"/>
            <w:u w:val="single"/>
          </w:rPr>
          <w:t xml:space="preserve">Chrysippus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Présentation de la logique propositionnelle de Chrysippe et de son compatibilisme.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5. </w:t>
      </w:r>
      <w:hyperlink w:history="1" r:id="rIdw9yysp5v1o-ucw5phh4jb">
        <w:r>
          <w:rPr>
            <w:rFonts w:ascii="Times New Roman" w:cs="Times New Roman" w:eastAsia="Times New Roman" w:hAnsi="Times New Roman"/>
            <w:color w:val="1155CC"/>
            <w:sz w:val="22"/>
            <w:szCs w:val="22"/>
            <w:u w:val="single"/>
          </w:rPr>
          <w:t xml:space="preserve">Cleanthes — Wikipedia (EN)</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Vie et doctrine de Cléanthe, dont le texte intégral de l'Hymne à Zeus.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6. </w:t>
      </w:r>
      <w:hyperlink w:history="1" r:id="rIdf54llubxkh6crlcz8hfnk">
        <w:r>
          <w:rPr>
            <w:rFonts w:ascii="Times New Roman" w:cs="Times New Roman" w:eastAsia="Times New Roman" w:hAnsi="Times New Roman"/>
            <w:color w:val="1155CC"/>
            <w:sz w:val="22"/>
            <w:szCs w:val="22"/>
            <w:u w:val="single"/>
          </w:rPr>
          <w:t xml:space="preserve">Stoïcisme — Larousse Encyclopédie</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Synthèse francophone accessible sur la fondation de l'école et les trois domaines.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7. </w:t>
      </w:r>
      <w:hyperlink w:history="1" r:id="rIdjsyptxbpxj_woenv8iyyp">
        <w:r>
          <w:rPr>
            <w:rFonts w:ascii="Times New Roman" w:cs="Times New Roman" w:eastAsia="Times New Roman" w:hAnsi="Times New Roman"/>
            <w:color w:val="1155CC"/>
            <w:sz w:val="22"/>
            <w:szCs w:val="22"/>
            <w:u w:val="single"/>
          </w:rPr>
          <w:t xml:space="preserve">Zénon de Citium — Philosophes.org</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Notice biographique et doctrine en français, sobre et fiable.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8. </w:t>
      </w:r>
      <w:hyperlink w:history="1" r:id="rIdcohxlhek-nwnwdsa2bekt">
        <w:r>
          <w:rPr>
            <w:rFonts w:ascii="Times New Roman" w:cs="Times New Roman" w:eastAsia="Times New Roman" w:hAnsi="Times New Roman"/>
            <w:color w:val="1155CC"/>
            <w:sz w:val="22"/>
            <w:szCs w:val="22"/>
            <w:u w:val="single"/>
          </w:rPr>
          <w:t xml:space="preserve">Stoïcisme — Wikipédia FR</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Contexte historique des trois périodes (Ancien, Moyen et Nouveau Portique) et synthèse des doctrines.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n°14 : Physique et logique stoïciennes</w:t>
      </w:r>
    </w:p>
    <w:p>
      <w:pPr>
        <w:spacing w:after="80" w:before="80"/>
      </w:pPr>
      <w:r>
        <w:rPr>
          <w:rFonts w:ascii="Times New Roman" w:cs="Times New Roman" w:eastAsia="Times New Roman" w:hAnsi="Times New Roman"/>
          <w:b w:val="false"/>
          <w:bCs w:val="false"/>
          <w:i w:val="false"/>
          <w:iCs w:val="false"/>
          <w:color w:val="1F2937"/>
          <w:sz w:val="22"/>
          <w:szCs w:val="22"/>
        </w:rPr>
        <w:t xml:space="preserve">La leçon 14 plonge dans les fondements théoriques du stoïcisme : le logos comme raison universelle immanente au cosmos, le pneuma comme souffle matériel, le destin (heimarmenê) et son articulation avec la liberté, et la théorie stoïcienne de l'assentiment. Cette leçon est plus abstraite que les précédentes — mais après avoir rencontré les fondateurs aujourd'hui, tu auras les repères pour ne pas t'y perdre.</w:t>
      </w:r>
    </w:p>
    <w:p>
      <w:r>
        <w:t xml:space="preserve"/>
      </w:r>
    </w:p>
    <w:p>
      <w:pPr>
        <w:spacing w:after="80" w:before="200"/>
        <w:jc w:val="center"/>
      </w:pPr>
      <w:r>
        <w:rPr>
          <w:rFonts w:ascii="Times New Roman" w:cs="Times New Roman" w:eastAsia="Times New Roman" w:hAnsi="Times New Roman"/>
          <w:i/>
          <w:iCs/>
          <w:color w:val="888888"/>
          <w:sz w:val="18"/>
          <w:szCs w:val="18"/>
        </w:rPr>
        <w:t xml:space="preserve">— Parcours Stoïcisme · Leçon 13 / 20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qzuj9bewyd_z0jjlmq6" Type="http://schemas.openxmlformats.org/officeDocument/2006/relationships/hyperlink" Target="https://plato.stanford.edu/entries/stoicism/" TargetMode="External"/><Relationship Id="rId06hq_ik1uw3fatcjoa7nu" Type="http://schemas.openxmlformats.org/officeDocument/2006/relationships/hyperlink" Target="https://iep.utm.edu/stoicism/" TargetMode="External"/><Relationship Id="rIdvq9u8albsghvorknz2doh" Type="http://schemas.openxmlformats.org/officeDocument/2006/relationships/hyperlink" Target="https://en.wikipedia.org/wiki/Zeno_of_Citium" TargetMode="External"/><Relationship Id="rIdkdk9ehgo_lzy4yj_mztra" Type="http://schemas.openxmlformats.org/officeDocument/2006/relationships/hyperlink" Target="https://en.wikipedia.org/wiki/Chrysippus" TargetMode="External"/><Relationship Id="rIdw9yysp5v1o-ucw5phh4jb" Type="http://schemas.openxmlformats.org/officeDocument/2006/relationships/hyperlink" Target="https://en.wikipedia.org/wiki/Cleanthes" TargetMode="External"/><Relationship Id="rIdf54llubxkh6crlcz8hfnk" Type="http://schemas.openxmlformats.org/officeDocument/2006/relationships/hyperlink" Target="https://www.larousse.fr/encyclopedie/philosophie/sto%C3%AFcisme/192227" TargetMode="External"/><Relationship Id="rIdjsyptxbpxj_woenv8iyyp" Type="http://schemas.openxmlformats.org/officeDocument/2006/relationships/hyperlink" Target="https://www.philosophes.org/biographies/zenon-de-citium-zenon-de-kition-334-262-av-j-c-vivre-en-accord-avec-la-nature/" TargetMode="External"/><Relationship Id="rIdcohxlhek-nwnwdsa2bekt" Type="http://schemas.openxmlformats.org/officeDocument/2006/relationships/hyperlink" Target="https://fr.wikipedia.org/wiki/Sto%C3%AFcism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2026-09-03T06:08:30.538Z</dcterms:created>
  <dcterms:modified xsi:type="dcterms:W3CDTF">2026-09-03T06:08:30.540Z</dcterms:modified>
</cp:coreProperties>
</file>

<file path=docProps/custom.xml><?xml version="1.0" encoding="utf-8"?>
<Properties xmlns="http://schemas.openxmlformats.org/officeDocument/2006/custom-properties" xmlns:vt="http://schemas.openxmlformats.org/officeDocument/2006/docPropsVTypes"/>
</file>