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Placement financier n°02</w:t>
      </w:r>
    </w:p>
    <w:p>
      <w:pPr>
        <w:pStyle w:val="Heading1"/>
        <w:spacing w:after="200" w:before="200"/>
        <w:jc w:val="center"/>
      </w:pPr>
      <w:r>
        <w:rPr>
          <w:rFonts w:ascii="Times New Roman" w:cs="Times New Roman" w:eastAsia="Times New Roman" w:hAnsi="Times New Roman"/>
          <w:b/>
          <w:bCs/>
          <w:color w:val="1B3A6B"/>
          <w:sz w:val="52"/>
          <w:szCs w:val="52"/>
        </w:rPr>
        <w:t xml:space="preserve">Le couple rendement / risque et la diversification</w:t>
      </w:r>
    </w:p>
    <w:p>
      <w:pPr>
        <w:spacing w:after="80" w:before="80"/>
        <w:jc w:val="center"/>
      </w:pPr>
      <w:r>
        <w:rPr>
          <w:rFonts w:ascii="Times New Roman" w:cs="Times New Roman" w:eastAsia="Times New Roman" w:hAnsi="Times New Roman"/>
          <w:i/>
          <w:iCs/>
          <w:color w:val="888888"/>
          <w:sz w:val="20"/>
          <w:szCs w:val="20"/>
        </w:rPr>
        <w:t xml:space="preserve">20 juin 2026  |  Module Fondamental — leçon 02 / 16</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expliquer pourquoi rendement et risque sont indissociables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distinguer volatilité (fluctuation temporaire) et perte définitive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appliquer le principe de diversification à un portefeuille simple</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i w:val="false"/>
          <w:iCs w:val="false"/>
          <w:color w:val="1F2937"/>
          <w:sz w:val="22"/>
          <w:szCs w:val="22"/>
        </w:rPr>
        <w:t xml:space="preserve">Continuité — Leçon 01 : tu as posé les fondations : objectif, horizon (~7-8 ans = moyen terme) et épargne de précaution. La leçon 02 répond à la question suivante : " maintenant que j'ai un horizon défini, comment choisir entre des placements qui offrent des rendements différents — et à quel prix en termes de risque ? "</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Rappel</w:t>
      </w:r>
    </w:p>
    <w:p>
      <w:pPr>
        <w:shd w:fill="F3F4F6" w:val="clear"/>
        <w:spacing w:after="120" w:before="120"/>
        <w:ind w:left="431" w:right="431"/>
      </w:pPr>
      <w:r>
        <w:rPr>
          <w:rFonts w:ascii="Times New Roman" w:cs="Times New Roman" w:eastAsia="Times New Roman" w:hAnsi="Times New Roman"/>
          <w:i/>
          <w:iCs/>
          <w:color w:val="1F2937"/>
          <w:sz w:val="22"/>
          <w:szCs w:val="22"/>
        </w:rPr>
        <w:t xml:space="preserve">Cette leçon relève de l'éducation financière générale. Elle NE constitue PAS un conseil en investissement personnalisé. Tout placement peut comporter un RISQUE DE PERTE EN CAPITAL. Pour toute décision, consulte un conseiller en gestion de patrimoine (CGP) ou un CIF agréé.</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Théorie (20 %) — Concepts fondamentaux</w:t>
      </w:r>
    </w:p>
    <w:p>
      <w:pPr>
        <w:pStyle w:val="Heading3"/>
        <w:spacing w:after="80" w:before="200"/>
      </w:pPr>
      <w:r>
        <w:rPr>
          <w:rFonts w:ascii="Times New Roman" w:cs="Times New Roman" w:eastAsia="Times New Roman" w:hAnsi="Times New Roman"/>
          <w:b/>
          <w:bCs/>
          <w:color w:val="1F2937"/>
          <w:sz w:val="26"/>
          <w:szCs w:val="26"/>
        </w:rPr>
        <w:t xml:space="preserve">1. Le couple rendement / risque</w:t>
      </w:r>
    </w:p>
    <w:p>
      <w:pPr>
        <w:spacing w:after="80" w:before="80"/>
      </w:pPr>
      <w:r>
        <w:rPr>
          <w:rFonts w:ascii="Times New Roman" w:cs="Times New Roman" w:eastAsia="Times New Roman" w:hAnsi="Times New Roman"/>
          <w:color w:val="1F2937"/>
          <w:sz w:val="22"/>
          <w:szCs w:val="22"/>
        </w:rPr>
        <w:t xml:space="preserve">Tout placement obéit à une loi quasi-universelle : plus le rendement attendu est élevé, plus le risque accepté est grand — et inversement. Il n'existe pas de placement qui offre à la fois un rendement élevé ET une sécurité totale. Quiconque vous promet les deux ment.</w:t>
      </w:r>
    </w:p>
    <w:p>
      <w:pPr>
        <w:spacing w:after="80" w:before="80"/>
        <w:ind w:left="576"/>
      </w:pPr>
      <w:r>
        <w:rPr>
          <w:rFonts w:ascii="Times New Roman" w:cs="Times New Roman" w:eastAsia="Times New Roman" w:hAnsi="Times New Roman"/>
          <w:i/>
          <w:iCs/>
          <w:color w:val="1B3A6B"/>
          <w:sz w:val="22"/>
          <w:szCs w:val="22"/>
        </w:rPr>
        <w:t xml:space="preserve">« Les investisseurs ne sont prêts à prendre plus de risques qu'en échange d'un rendement attendu supérieur. » — La Finance pour Tous</w:t>
      </w:r>
    </w:p>
    <w:p>
      <w:pPr>
        <w:spacing w:after="80" w:before="80"/>
      </w:pPr>
      <w:r>
        <w:rPr>
          <w:rFonts w:ascii="Times New Roman" w:cs="Times New Roman" w:eastAsia="Times New Roman" w:hAnsi="Times New Roman"/>
          <w:color w:val="1F2937"/>
          <w:sz w:val="22"/>
          <w:szCs w:val="22"/>
        </w:rPr>
        <w:t xml:space="preserve">La prime de risque : c'est la rémunération supplémentaire exigée pour accepter un actif plus risqué. Exemple : une obligation d'entreprise rapporte toujours plus qu'un emprunt d'État, car le risque de défaillance est plus élevé.</w:t>
      </w:r>
    </w:p>
    <w:p>
      <w:pPr>
        <w:spacing w:after="80" w:before="80"/>
      </w:pPr>
      <w:r>
        <w:rPr>
          <w:rFonts w:ascii="Times New Roman" w:cs="Times New Roman" w:eastAsia="Times New Roman" w:hAnsi="Times New Roman"/>
          <w:color w:val="1F2937"/>
          <w:sz w:val="22"/>
          <w:szCs w:val="22"/>
        </w:rPr>
        <w:t xml:space="preserve"/>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Type de placement</w:t>
            </w:r>
          </w:p>
        </w:tc>
        <w:tc>
          <w:tcPr>
            <w:shd w:fill="1B3A6B" w:val="clear"/>
          </w:tcPr>
          <w:p>
            <w:pPr>
              <w:jc w:val="center"/>
            </w:pPr>
            <w:r>
              <w:rPr>
                <w:rFonts w:ascii="Times New Roman" w:cs="Times New Roman" w:eastAsia="Times New Roman" w:hAnsi="Times New Roman"/>
                <w:b/>
                <w:bCs/>
                <w:color w:val="FFFFFF"/>
                <w:sz w:val="20"/>
                <w:szCs w:val="20"/>
              </w:rPr>
              <w:t xml:space="preserve">Risque</w:t>
            </w:r>
          </w:p>
        </w:tc>
        <w:tc>
          <w:tcPr>
            <w:shd w:fill="1B3A6B" w:val="clear"/>
          </w:tcPr>
          <w:p>
            <w:pPr>
              <w:jc w:val="center"/>
            </w:pPr>
            <w:r>
              <w:rPr>
                <w:rFonts w:ascii="Times New Roman" w:cs="Times New Roman" w:eastAsia="Times New Roman" w:hAnsi="Times New Roman"/>
                <w:b/>
                <w:bCs/>
                <w:color w:val="FFFFFF"/>
                <w:sz w:val="20"/>
                <w:szCs w:val="20"/>
              </w:rPr>
              <w:t xml:space="preserve">Rendement attendu (indicatif)</w:t>
            </w:r>
          </w:p>
        </w:tc>
        <w:tc>
          <w:tcPr>
            <w:shd w:fill="1B3A6B" w:val="clear"/>
          </w:tcPr>
          <w:p>
            <w:pPr>
              <w:jc w:val="center"/>
            </w:pPr>
            <w:r>
              <w:rPr>
                <w:rFonts w:ascii="Times New Roman" w:cs="Times New Roman" w:eastAsia="Times New Roman" w:hAnsi="Times New Roman"/>
                <w:b/>
                <w:bCs/>
                <w:color w:val="FFFFFF"/>
                <w:sz w:val="20"/>
                <w:szCs w:val="20"/>
              </w:rPr>
              <w:t xml:space="preserve">Exemple</w:t>
            </w:r>
          </w:p>
        </w:tc>
      </w:tr>
      <w:tr>
        <w:tc>
          <w:tcPr>
            <w:shd w:fill="FFFFFF" w:val="clear"/>
          </w:tcPr>
          <w:p>
            <w:pPr>
              <w:jc w:val="center"/>
            </w:pPr>
            <w:r>
              <w:rPr>
                <w:rFonts w:ascii="Times New Roman" w:cs="Times New Roman" w:eastAsia="Times New Roman" w:hAnsi="Times New Roman"/>
                <w:b w:val="false"/>
                <w:bCs w:val="false"/>
                <w:color w:val="1F2937"/>
                <w:sz w:val="20"/>
                <w:szCs w:val="20"/>
              </w:rPr>
              <w:t xml:space="preserve">Livrets réglementés</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Très faible</w:t>
            </w:r>
          </w:p>
        </w:tc>
        <w:tc>
          <w:tcPr>
            <w:shd w:fill="FFFFFF" w:val="clear"/>
          </w:tcPr>
          <w:p>
            <w:pPr>
              <w:jc w:val="center"/>
            </w:pPr>
            <w:r>
              <w:rPr>
                <w:rFonts w:ascii="Times New Roman" w:cs="Times New Roman" w:eastAsia="Times New Roman" w:hAnsi="Times New Roman"/>
                <w:b w:val="false"/>
                <w:bCs w:val="false"/>
                <w:color w:val="1F2937"/>
                <w:sz w:val="20"/>
                <w:szCs w:val="20"/>
              </w:rPr>
              <w:t xml:space="preserve">~2-3 %</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Livret A, LDDS</w:t>
            </w:r>
          </w:p>
        </w:tc>
      </w:tr>
      <w:tr>
        <w:tc>
          <w:tcPr>
            <w:shd w:fill="FFFFFF" w:val="clear"/>
          </w:tcPr>
          <w:p>
            <w:pPr>
              <w:jc w:val="center"/>
            </w:pPr>
            <w:r>
              <w:rPr>
                <w:rFonts w:ascii="Times New Roman" w:cs="Times New Roman" w:eastAsia="Times New Roman" w:hAnsi="Times New Roman"/>
                <w:b w:val="false"/>
                <w:bCs w:val="false"/>
                <w:color w:val="1F2937"/>
                <w:sz w:val="20"/>
                <w:szCs w:val="20"/>
              </w:rPr>
              <w:t xml:space="preserve">Fonds en euros (AV)</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Faible</w:t>
            </w:r>
          </w:p>
        </w:tc>
        <w:tc>
          <w:tcPr>
            <w:shd w:fill="FFFFFF" w:val="clear"/>
          </w:tcPr>
          <w:p>
            <w:pPr>
              <w:jc w:val="center"/>
            </w:pPr>
            <w:r>
              <w:rPr>
                <w:rFonts w:ascii="Times New Roman" w:cs="Times New Roman" w:eastAsia="Times New Roman" w:hAnsi="Times New Roman"/>
                <w:b w:val="false"/>
                <w:bCs w:val="false"/>
                <w:color w:val="1F2937"/>
                <w:sz w:val="20"/>
                <w:szCs w:val="20"/>
              </w:rPr>
              <w:t xml:space="preserve">~2-4 %</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Assurance-vie fonds €</w:t>
            </w:r>
          </w:p>
        </w:tc>
      </w:tr>
      <w:tr>
        <w:tc>
          <w:tcPr>
            <w:shd w:fill="FFFFFF" w:val="clear"/>
          </w:tcPr>
          <w:p>
            <w:pPr>
              <w:jc w:val="center"/>
            </w:pPr>
            <w:r>
              <w:rPr>
                <w:rFonts w:ascii="Times New Roman" w:cs="Times New Roman" w:eastAsia="Times New Roman" w:hAnsi="Times New Roman"/>
                <w:b w:val="false"/>
                <w:bCs w:val="false"/>
                <w:color w:val="1F2937"/>
                <w:sz w:val="20"/>
                <w:szCs w:val="20"/>
              </w:rPr>
              <w:t xml:space="preserve">Obligations État</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Faible à modéré</w:t>
            </w:r>
          </w:p>
        </w:tc>
        <w:tc>
          <w:tcPr>
            <w:shd w:fill="FFFFFF" w:val="clear"/>
          </w:tcPr>
          <w:p>
            <w:pPr>
              <w:jc w:val="center"/>
            </w:pPr>
            <w:r>
              <w:rPr>
                <w:rFonts w:ascii="Times New Roman" w:cs="Times New Roman" w:eastAsia="Times New Roman" w:hAnsi="Times New Roman"/>
                <w:b w:val="false"/>
                <w:bCs w:val="false"/>
                <w:color w:val="1F2937"/>
                <w:sz w:val="20"/>
                <w:szCs w:val="20"/>
              </w:rPr>
              <w:t xml:space="preserve">~2-4 %</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OAT France</w:t>
            </w:r>
          </w:p>
        </w:tc>
      </w:tr>
      <w:tr>
        <w:tc>
          <w:tcPr>
            <w:shd w:fill="FFFFFF" w:val="clear"/>
          </w:tcPr>
          <w:p>
            <w:pPr>
              <w:jc w:val="center"/>
            </w:pPr>
            <w:r>
              <w:rPr>
                <w:rFonts w:ascii="Times New Roman" w:cs="Times New Roman" w:eastAsia="Times New Roman" w:hAnsi="Times New Roman"/>
                <w:b w:val="false"/>
                <w:bCs w:val="false"/>
                <w:color w:val="1F2937"/>
                <w:sz w:val="20"/>
                <w:szCs w:val="20"/>
              </w:rPr>
              <w:t xml:space="preserve">Obligations entreprises</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Modéré</w:t>
            </w:r>
          </w:p>
        </w:tc>
        <w:tc>
          <w:tcPr>
            <w:shd w:fill="FFFFFF" w:val="clear"/>
          </w:tcPr>
          <w:p>
            <w:pPr>
              <w:jc w:val="center"/>
            </w:pPr>
            <w:r>
              <w:rPr>
                <w:rFonts w:ascii="Times New Roman" w:cs="Times New Roman" w:eastAsia="Times New Roman" w:hAnsi="Times New Roman"/>
                <w:b w:val="false"/>
                <w:bCs w:val="false"/>
                <w:color w:val="1F2937"/>
                <w:sz w:val="20"/>
                <w:szCs w:val="20"/>
              </w:rPr>
              <w:t xml:space="preserve">~3-6 %</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Fonds obligataires</w:t>
            </w:r>
          </w:p>
        </w:tc>
      </w:tr>
      <w:tr>
        <w:tc>
          <w:tcPr>
            <w:shd w:fill="FFFFFF" w:val="clear"/>
          </w:tcPr>
          <w:p>
            <w:pPr>
              <w:jc w:val="center"/>
            </w:pPr>
            <w:r>
              <w:rPr>
                <w:rFonts w:ascii="Times New Roman" w:cs="Times New Roman" w:eastAsia="Times New Roman" w:hAnsi="Times New Roman"/>
                <w:b w:val="false"/>
                <w:bCs w:val="false"/>
                <w:color w:val="1F2937"/>
                <w:sz w:val="20"/>
                <w:szCs w:val="20"/>
              </w:rPr>
              <w:t xml:space="preserve">Actions</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Élevé</w:t>
            </w:r>
          </w:p>
        </w:tc>
        <w:tc>
          <w:tcPr>
            <w:shd w:fill="FFFFFF" w:val="clear"/>
          </w:tcPr>
          <w:p>
            <w:pPr>
              <w:jc w:val="center"/>
            </w:pPr>
            <w:r>
              <w:rPr>
                <w:rFonts w:ascii="Times New Roman" w:cs="Times New Roman" w:eastAsia="Times New Roman" w:hAnsi="Times New Roman"/>
                <w:b w:val="false"/>
                <w:bCs w:val="false"/>
                <w:color w:val="1F2937"/>
                <w:sz w:val="20"/>
                <w:szCs w:val="20"/>
              </w:rPr>
              <w:t xml:space="preserve">~6-8 % historique (LT)</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PEA, OPCVM actions</w:t>
            </w:r>
          </w:p>
        </w:tc>
      </w:tr>
      <w:tr>
        <w:tc>
          <w:tcPr>
            <w:shd w:fill="FFFFFF" w:val="clear"/>
          </w:tcPr>
          <w:p>
            <w:pPr>
              <w:jc w:val="center"/>
            </w:pPr>
            <w:r>
              <w:rPr>
                <w:rFonts w:ascii="Times New Roman" w:cs="Times New Roman" w:eastAsia="Times New Roman" w:hAnsi="Times New Roman"/>
                <w:b w:val="false"/>
                <w:bCs w:val="false"/>
                <w:color w:val="1F2937"/>
                <w:sz w:val="20"/>
                <w:szCs w:val="20"/>
              </w:rPr>
              <w:t xml:space="preserve">Immobilier (SCPI)</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Modéré à élevé</w:t>
            </w:r>
          </w:p>
        </w:tc>
        <w:tc>
          <w:tcPr>
            <w:shd w:fill="FFFFFF" w:val="clear"/>
          </w:tcPr>
          <w:p>
            <w:pPr>
              <w:jc w:val="center"/>
            </w:pPr>
            <w:r>
              <w:rPr>
                <w:rFonts w:ascii="Times New Roman" w:cs="Times New Roman" w:eastAsia="Times New Roman" w:hAnsi="Times New Roman"/>
                <w:b w:val="false"/>
                <w:bCs w:val="false"/>
                <w:color w:val="1F2937"/>
                <w:sz w:val="20"/>
                <w:szCs w:val="20"/>
              </w:rPr>
              <w:t xml:space="preserve">~4-6 %</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Pierre-papier</w:t>
            </w:r>
          </w:p>
        </w:tc>
      </w:tr>
    </w:tbl>
    <w:p>
      <w:pPr>
        <w:spacing w:after="80" w:before="80"/>
      </w:pPr>
      <w:r>
        <w:rPr>
          <w:rFonts w:ascii="Times New Roman" w:cs="Times New Roman" w:eastAsia="Times New Roman" w:hAnsi="Times New Roman"/>
          <w:i/>
          <w:iCs/>
          <w:color w:val="1F2937"/>
          <w:sz w:val="22"/>
          <w:szCs w:val="22"/>
        </w:rPr>
        <w:t xml:space="preserve">⚠️ Ces chiffres sont indicatifs et historiques — les performances passées ne préjugent pas des performances futures. Risque de perte en capital sur tous les actifs autres que livrets réglementés.</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2. Volatilité vs perte définitive — ne pas confondre</w:t>
      </w:r>
    </w:p>
    <w:p>
      <w:pPr>
        <w:spacing w:after="80" w:before="80"/>
      </w:pPr>
      <w:r>
        <w:rPr>
          <w:rFonts w:ascii="Times New Roman" w:cs="Times New Roman" w:eastAsia="Times New Roman" w:hAnsi="Times New Roman"/>
          <w:color w:val="1F2937"/>
          <w:sz w:val="22"/>
          <w:szCs w:val="22"/>
        </w:rPr>
        <w:t xml:space="preserve">La volatilité désigne les fluctuations de valeur dans le temps. Une action peut perdre 20 % en 6 mois et récupérer ce niveau 2 ans plus tard : c'est de la volatilité, pas une perte définitive.</w:t>
      </w:r>
    </w:p>
    <w:p>
      <w:pPr>
        <w:spacing w:after="80" w:before="80"/>
      </w:pPr>
      <w:r>
        <w:rPr>
          <w:rFonts w:ascii="Times New Roman" w:cs="Times New Roman" w:eastAsia="Times New Roman" w:hAnsi="Times New Roman"/>
          <w:color w:val="1F2937"/>
          <w:sz w:val="22"/>
          <w:szCs w:val="22"/>
        </w:rPr>
        <w:t xml:space="preserve">La perte définitive survient quand l'entreprise fait faillite, quand on vend en panique au plus bas, ou quand on investit dans une arnaque. C'est irréversible.</w:t>
      </w:r>
    </w:p>
    <w:p>
      <w:pPr>
        <w:shd w:fill="F3F4F6" w:val="clear"/>
        <w:spacing w:after="120" w:before="120"/>
        <w:ind w:left="431" w:right="431"/>
      </w:pPr>
      <w:r>
        <w:rPr>
          <w:rFonts w:ascii="Times New Roman" w:cs="Times New Roman" w:eastAsia="Times New Roman" w:hAnsi="Times New Roman"/>
          <w:i/>
          <w:iCs/>
          <w:color w:val="1F2937"/>
          <w:sz w:val="22"/>
          <w:szCs w:val="22"/>
        </w:rPr>
        <w:t xml:space="preserve">Règle pratique : la volatilité se gère avec le TEMPS (horizon long/moyen terme). La perte définitive se prévient par la DIVERSIFICATION et la VIGILANCE sur la qualité des émetteurs.</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3. La diversification — « ne pas mettre tous ses œufs dans le même panier »</w:t>
      </w:r>
    </w:p>
    <w:p>
      <w:pPr>
        <w:spacing w:after="80" w:before="80"/>
      </w:pPr>
      <w:r>
        <w:rPr>
          <w:rFonts w:ascii="Times New Roman" w:cs="Times New Roman" w:eastAsia="Times New Roman" w:hAnsi="Times New Roman"/>
          <w:color w:val="1F2937"/>
          <w:sz w:val="22"/>
          <w:szCs w:val="22"/>
        </w:rPr>
        <w:t xml:space="preserve">La diversification consiste à répartir ses investissements entre plusieurs actifs, secteurs, zones géographiques afin qu'une mauvaise performance de l'un soit compensée par la stabilité ou la hausse des autres.</w:t>
      </w:r>
    </w:p>
    <w:p>
      <w:pPr>
        <w:spacing w:after="80" w:before="80"/>
      </w:pPr>
      <w:r>
        <w:rPr>
          <w:rFonts w:ascii="Times New Roman" w:cs="Times New Roman" w:eastAsia="Times New Roman" w:hAnsi="Times New Roman"/>
          <w:color w:val="1F2937"/>
          <w:sz w:val="22"/>
          <w:szCs w:val="22"/>
        </w:rPr>
        <w:t xml:space="preserve">Elle réduit le risque dit « idiosyncratique » (propre à un titre ou secteur), mais NE supprime PAS le risque systémique (crises générales du marché).</w:t>
      </w:r>
    </w:p>
    <w:p>
      <w:pPr>
        <w:spacing w:after="80" w:before="80"/>
      </w:pPr>
      <w:r>
        <w:rPr>
          <w:rFonts w:ascii="Times New Roman" w:cs="Times New Roman" w:eastAsia="Times New Roman" w:hAnsi="Times New Roman"/>
          <w:color w:val="1F2937"/>
          <w:sz w:val="22"/>
          <w:szCs w:val="22"/>
        </w:rPr>
        <w:t xml:space="preserve">Recherches académiques : 15 à 30 titres bien sélectionnés capturent la majorité des bénéfices de diversification.</w:t>
      </w:r>
    </w:p>
    <w:p>
      <w:pPr>
        <w:spacing w:after="80" w:before="80"/>
        <w:ind w:left="576"/>
      </w:pPr>
      <w:r>
        <w:rPr>
          <w:rFonts w:ascii="Times New Roman" w:cs="Times New Roman" w:eastAsia="Times New Roman" w:hAnsi="Times New Roman"/>
          <w:i/>
          <w:iCs/>
          <w:color w:val="1B3A6B"/>
          <w:sz w:val="22"/>
          <w:szCs w:val="22"/>
        </w:rPr>
        <w:t xml:space="preserve">Exemple : en 2022, les actions chutaient (-15 % sur le CAC 40), tandis que certains fonds immobiliers et matières premières progressaient — un portefeuille mixte amortissait le choc.</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4. L'horizon réduit (ou amplifie) le risque ressenti</w:t>
      </w:r>
    </w:p>
    <w:p>
      <w:pPr>
        <w:spacing w:after="80" w:before="80"/>
      </w:pPr>
      <w:r>
        <w:rPr>
          <w:rFonts w:ascii="Times New Roman" w:cs="Times New Roman" w:eastAsia="Times New Roman" w:hAnsi="Times New Roman"/>
          <w:color w:val="1F2937"/>
          <w:sz w:val="22"/>
          <w:szCs w:val="22"/>
        </w:rPr>
        <w:t xml:space="preserve">Sur un horizon court (&lt;3 ans), la volatilité des actions est insupportable — la probabilité de être en moins-value à un instant donné est élevée. Sur un horizon de 7-8 ans (ton cas), les études historiques montrent que les actifs diversifiés ont historiquement récupéré leurs pertes et dégagé une performance positive — sans garantie de résultat futur.</w:t>
      </w:r>
    </w:p>
    <w:p>
      <w:pPr>
        <w:shd w:fill="F3F4F6" w:val="clear"/>
        <w:spacing w:after="120" w:before="120"/>
        <w:ind w:left="431" w:right="431"/>
      </w:pPr>
      <w:r>
        <w:rPr>
          <w:rFonts w:ascii="Times New Roman" w:cs="Times New Roman" w:eastAsia="Times New Roman" w:hAnsi="Times New Roman"/>
          <w:i/>
          <w:iCs/>
          <w:color w:val="1F2937"/>
          <w:sz w:val="22"/>
          <w:szCs w:val="22"/>
        </w:rPr>
        <w:t xml:space="preserve">Ton profil (7-8 ans) : zone intermédiaire entre moyen terme et long terme. La diversification est clé ; une part de risque est envisageable mais la sécurisation progressive devient enjeu à l'approche de l'échéance (thème de la leçon 11).</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Pratique (80 %) — Exercices</w:t>
      </w:r>
    </w:p>
    <w:p>
      <w:pPr>
        <w:pStyle w:val="Heading3"/>
        <w:spacing w:after="80" w:before="200"/>
      </w:pPr>
      <w:r>
        <w:rPr>
          <w:rFonts w:ascii="Times New Roman" w:cs="Times New Roman" w:eastAsia="Times New Roman" w:hAnsi="Times New Roman"/>
          <w:b/>
          <w:bCs/>
          <w:color w:val="1F2937"/>
          <w:sz w:val="26"/>
          <w:szCs w:val="26"/>
        </w:rPr>
        <w:t xml:space="preserve">Exercice 1 — Cartographie rendement / risque (compréhension active)</w:t>
      </w:r>
    </w:p>
    <w:p>
      <w:pPr>
        <w:spacing w:after="80" w:before="80"/>
      </w:pPr>
      <w:r>
        <w:rPr>
          <w:rFonts w:ascii="Times New Roman" w:cs="Times New Roman" w:eastAsia="Times New Roman" w:hAnsi="Times New Roman"/>
          <w:color w:val="1F2937"/>
          <w:sz w:val="22"/>
          <w:szCs w:val="22"/>
        </w:rPr>
        <w:t xml:space="preserve">Durée estimée : 15 min</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Voici une liste de placements mélangés. Pour chacun, positionne-le sur une échelle de risque de 1 (très faible) à 5 (très élevé), puis estime son rendement attendu approximatif :</w:t>
      </w:r>
    </w:p>
    <w:p>
      <w:pPr>
        <w:spacing w:after="80" w:before="80"/>
      </w:pPr>
      <w:r>
        <w:rPr>
          <w:rFonts w:ascii="Times New Roman" w:cs="Times New Roman" w:eastAsia="Times New Roman" w:hAnsi="Times New Roman"/>
          <w:color w:val="1F2937"/>
          <w:sz w:val="22"/>
          <w:szCs w:val="22"/>
        </w:rPr>
        <w:t xml:space="preserve"/>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Livret A (taux réglementé, plafonné)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Une action d'une grande entreprise du CAC 40</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Une obligation d'État français (OAT à 10 ans)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Une SCPI (Société Civile de Placement Immobilier)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 fonds en euros d'assurance-vie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 ETF (fonds indiciel) répliquant le S&amp;P 500</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 PEE (Plan d'Épargne Entreprise) investi en actions de ton employeur</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Reporte tes réponses dans un tableau à 3 colonnes : Placement | Risque (1-5) | Rendement estimé. Compare ensuite avec le tableau de la partie Théorie.</w:t>
      </w:r>
    </w:p>
    <w:p>
      <w:pPr>
        <w:spacing w:after="80" w:before="80"/>
      </w:pPr>
      <w:r>
        <w:rPr>
          <w:rFonts w:ascii="Times New Roman" w:cs="Times New Roman" w:eastAsia="Times New Roman" w:hAnsi="Times New Roman"/>
          <w:color w:val="1F2937"/>
          <w:sz w:val="22"/>
          <w:szCs w:val="22"/>
        </w:rPr>
        <w:t xml:space="preserve"/>
      </w:r>
    </w:p>
    <w:p>
      <w:pPr>
        <w:shd w:fill="F3F4F6" w:val="clear"/>
        <w:spacing w:after="120" w:before="120"/>
        <w:ind w:left="431" w:right="431"/>
      </w:pPr>
      <w:r>
        <w:rPr>
          <w:rFonts w:ascii="Times New Roman" w:cs="Times New Roman" w:eastAsia="Times New Roman" w:hAnsi="Times New Roman"/>
          <w:i/>
          <w:iCs/>
          <w:color w:val="1F2937"/>
          <w:sz w:val="22"/>
          <w:szCs w:val="22"/>
        </w:rPr>
        <w:t xml:space="preserve">Réflexion bonus : parmi ces placements, lequel génère le plus de risque de concentration (tous les œufs dans le même panier) ? Pourquoi ?</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Calculer l'impact de la diversification (exercice chiffré)</w:t>
      </w:r>
    </w:p>
    <w:p>
      <w:pPr>
        <w:spacing w:after="80" w:before="80"/>
      </w:pPr>
      <w:r>
        <w:rPr>
          <w:rFonts w:ascii="Times New Roman" w:cs="Times New Roman" w:eastAsia="Times New Roman" w:hAnsi="Times New Roman"/>
          <w:color w:val="1F2937"/>
          <w:sz w:val="22"/>
          <w:szCs w:val="22"/>
        </w:rPr>
        <w:t xml:space="preserve">Durée estimée : 20 min</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Hypothèse simplifiée sur 1 an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Actif A (actions) : +12 % en scénario optimiste, -15 % en scénario pessimiste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Actif B (obligations) : +4 % en scénario optimiste, +1 % en scénario pessimiste</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Cas 1 — Portefeuille 100 % Actif A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optimiste : résultat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pessimiste : résultat ?</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Cas 2 — Portefeuille 60 % Actif A + 40 % Actif B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optimiste : (0,60 × 12 %) + (0,40 × 4 %)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pessimiste : (0,60 × −15 %) + (0,40 × 1 %) = ?</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Quelle est la différence de performance en scénario pessimiste entre Cas 1 et Cas 2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 « coût » paie-t-on en scénario optimiste pour bénéficier de ce coussin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Ce coût est-il acceptable sur un horizon de 7-8 ans ? Justifie ta réponse.</w:t>
      </w:r>
    </w:p>
    <w:p>
      <w:pPr>
        <w:spacing w:after="80" w:before="80"/>
      </w:pPr>
      <w:r>
        <w:rPr>
          <w:rFonts w:ascii="Times New Roman" w:cs="Times New Roman" w:eastAsia="Times New Roman" w:hAnsi="Times New Roman"/>
          <w:color w:val="1F2937"/>
          <w:sz w:val="22"/>
          <w:szCs w:val="22"/>
        </w:rPr>
        <w:t xml:space="preserve"/>
      </w:r>
    </w:p>
    <w:p>
      <w:pPr>
        <w:shd w:fill="F3F4F6" w:val="clear"/>
        <w:spacing w:after="120" w:before="120"/>
        <w:ind w:left="431" w:right="431"/>
      </w:pPr>
      <w:r>
        <w:rPr>
          <w:rFonts w:ascii="Times New Roman" w:cs="Times New Roman" w:eastAsia="Times New Roman" w:hAnsi="Times New Roman"/>
          <w:i/>
          <w:iCs/>
          <w:color w:val="1F2937"/>
          <w:sz w:val="22"/>
          <w:szCs w:val="22"/>
        </w:rPr>
        <w:t xml:space="preserve">Ce calcul simple illustre l'essence de la diversification : réduire les extrêmes (bas) au prix d'un plafond légèrement plus bas (haut). C'est le cœur de la gestion de portefeuille.</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Construire une taxonomie risque/rendement personnelle</w:t>
      </w:r>
    </w:p>
    <w:p>
      <w:pPr>
        <w:spacing w:after="80" w:before="80"/>
      </w:pPr>
      <w:r>
        <w:rPr>
          <w:rFonts w:ascii="Times New Roman" w:cs="Times New Roman" w:eastAsia="Times New Roman" w:hAnsi="Times New Roman"/>
          <w:color w:val="1F2937"/>
          <w:sz w:val="22"/>
          <w:szCs w:val="22"/>
        </w:rPr>
        <w:t xml:space="preserve">Durée estimée : 15 min</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À partir de tes propres connnaissances ou d'une recherche rapide, classe les 8 placements suivants du moins risqué au plus risqué, en les regroupant par « familles de risque » similaire :</w:t>
      </w:r>
    </w:p>
    <w:p>
      <w:pPr>
        <w:spacing w:after="80" w:before="80"/>
      </w:pPr>
      <w:r>
        <w:rPr>
          <w:rFonts w:ascii="Times New Roman" w:cs="Times New Roman" w:eastAsia="Times New Roman" w:hAnsi="Times New Roman"/>
          <w:color w:val="1F2937"/>
          <w:sz w:val="22"/>
          <w:szCs w:val="22"/>
        </w:rPr>
        <w:t xml:space="preserve"/>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Compte épargne-logement (CEL)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PEA investi en ETF monde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Livret de développement durable (LDDS)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Assurance-vie en unités de compte (UC) actions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Obligations d'entreprises « investment grade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Compte-titres investi sur des actions individuelles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PER (Plan d'Épargne Retraite) fonds en euros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SCPI de rendement</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Trace un axe horizontal risque croissant et positionne chaque placement. Compare avec la feuille de route du parcours (thème 3 : les classes d'actifs).</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Challenge — Portefeuille à construire</w:t>
      </w:r>
    </w:p>
    <w:p>
      <w:pPr>
        <w:spacing w:after="80" w:before="80"/>
      </w:pPr>
      <w:r>
        <w:rPr>
          <w:rFonts w:ascii="Times New Roman" w:cs="Times New Roman" w:eastAsia="Times New Roman" w:hAnsi="Times New Roman"/>
          <w:color w:val="1F2937"/>
          <w:sz w:val="22"/>
          <w:szCs w:val="22"/>
        </w:rPr>
        <w:t xml:space="preserve">Durée estimée : 30 min</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Tu disposes de 10 000 € à investir sur 7 ans (objectif : valorisation progressive, mobilisable à l'échéance). Tu es un investisseur au profil « équilibré » (ni trop prudent, ni trop aventurier).</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Ta mission (en 3 étapes) :</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Étape A — Allocation théorique</w:t>
      </w:r>
    </w:p>
    <w:p>
      <w:pPr>
        <w:spacing w:after="80" w:before="80"/>
      </w:pPr>
      <w:r>
        <w:rPr>
          <w:rFonts w:ascii="Times New Roman" w:cs="Times New Roman" w:eastAsia="Times New Roman" w:hAnsi="Times New Roman"/>
          <w:color w:val="1F2937"/>
          <w:sz w:val="22"/>
          <w:szCs w:val="22"/>
        </w:rPr>
        <w:t xml:space="preserve">Répartis les 10 000 € entre au moins 3 classes d'actifs différentes (ex. sécurité, rendement modéré, croissance). Justifie chaque choix par le couple rendement/risque vu en leçon et par ton horizon de 7 ans.</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Étape B — Impact des scénarios</w:t>
      </w:r>
    </w:p>
    <w:p>
      <w:pPr>
        <w:spacing w:after="80" w:before="80"/>
      </w:pPr>
      <w:r>
        <w:rPr>
          <w:rFonts w:ascii="Times New Roman" w:cs="Times New Roman" w:eastAsia="Times New Roman" w:hAnsi="Times New Roman"/>
          <w:color w:val="1F2937"/>
          <w:sz w:val="22"/>
          <w:szCs w:val="22"/>
        </w:rPr>
        <w:t xml:space="preserve">Simule 3 scénarios sur 7 ans (simplifié, rendement annuel moyen constant)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défavorable : rendement global −1 %/an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neutre : rendement global +3 %/an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favorable : rendement global +6 %/an</w:t>
      </w:r>
    </w:p>
    <w:p>
      <w:pPr>
        <w:spacing w:after="80" w:before="80"/>
      </w:pPr>
      <w:r>
        <w:rPr>
          <w:rFonts w:ascii="Times New Roman" w:cs="Times New Roman" w:eastAsia="Times New Roman" w:hAnsi="Times New Roman"/>
          <w:color w:val="1F2937"/>
          <w:sz w:val="22"/>
          <w:szCs w:val="22"/>
        </w:rPr>
        <w:t xml:space="preserve">Pour chaque scénario, calcule la valeur finale de ton portefeuille (intérêts composés, formule : V = C × (1 + r)^n).</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Étape C — Limites du modèle</w:t>
      </w:r>
    </w:p>
    <w:p>
      <w:pPr>
        <w:spacing w:after="80" w:before="80"/>
      </w:pPr>
      <w:r>
        <w:rPr>
          <w:rFonts w:ascii="Times New Roman" w:cs="Times New Roman" w:eastAsia="Times New Roman" w:hAnsi="Times New Roman"/>
          <w:color w:val="1F2937"/>
          <w:sz w:val="22"/>
          <w:szCs w:val="22"/>
        </w:rPr>
        <w:t xml:space="preserve">Liste 3 facteurs réels que ton modèle simplifié ne prend pas en compte (frais, inflation, fiscalité, corrélations entre actifs…) — et que tu vas apprendre dans les prochaines leçons.</w:t>
      </w:r>
    </w:p>
    <w:p>
      <w:pPr>
        <w:spacing w:after="80" w:before="80"/>
      </w:pPr>
      <w:r>
        <w:rPr>
          <w:rFonts w:ascii="Times New Roman" w:cs="Times New Roman" w:eastAsia="Times New Roman" w:hAnsi="Times New Roman"/>
          <w:color w:val="1F2937"/>
          <w:sz w:val="22"/>
          <w:szCs w:val="22"/>
        </w:rPr>
        <w:t xml:space="preserve"/>
      </w:r>
    </w:p>
    <w:p>
      <w:pPr>
        <w:shd w:fill="F3F4F6" w:val="clear"/>
        <w:spacing w:after="120" w:before="120"/>
        <w:ind w:left="431" w:right="431"/>
      </w:pPr>
      <w:r>
        <w:rPr>
          <w:rFonts w:ascii="Times New Roman" w:cs="Times New Roman" w:eastAsia="Times New Roman" w:hAnsi="Times New Roman"/>
          <w:i/>
          <w:iCs/>
          <w:color w:val="1F2937"/>
          <w:sz w:val="22"/>
          <w:szCs w:val="22"/>
        </w:rPr>
        <w:t xml:space="preserve">Note : cet exercice est pédagogique. Il ne constitue pas une recommandation d'investissement. Les chiffres sont fictifs et servent à illustrer des mécanismes de base.</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Pont professionnel (chef de service ESSMS)</w:t>
      </w:r>
    </w:p>
    <w:p>
      <w:pPr>
        <w:spacing w:after="80" w:before="80"/>
      </w:pPr>
      <w:r>
        <w:rPr>
          <w:rFonts w:ascii="Times New Roman" w:cs="Times New Roman" w:eastAsia="Times New Roman" w:hAnsi="Times New Roman"/>
          <w:color w:val="1F2937"/>
          <w:sz w:val="22"/>
          <w:szCs w:val="22"/>
        </w:rPr>
        <w:t xml:space="preserve">En tant que responsable d'équipe, tu gères des ressources humaines limitées face à des besoins variables : c'est une forme de couple « rendement/risque » managérial. Solliciter un professionnel expérimenté mais peu disponible (risque élevé d'indisponibilité, rendement maximal) ou répartir les missions sur plusieurs profils complémentaires (diversification) — le principe est identique. La diversification des compétences dans une équipe réduit le risque opérationnel (absence, turnover) de la même façon qu'un portefeuille diversifié réduit la volatilité.</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Ressources cliquables</w:t>
      </w:r>
    </w:p>
    <w:p>
      <w:pPr>
        <w:spacing w:after="80" w:before="80"/>
      </w:pPr>
      <w:r>
        <w:rPr>
          <w:rFonts w:ascii="Times New Roman" w:cs="Times New Roman" w:eastAsia="Times New Roman" w:hAnsi="Times New Roman"/>
          <w:color w:val="1F2937"/>
          <w:sz w:val="22"/>
          <w:szCs w:val="22"/>
        </w:rPr>
        <w:t xml:space="preserve">Sources mobilisées pour cette leçon :</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 </w:t>
      </w:r>
      <w:hyperlink w:history="1" r:id="rIdsnkz9-tadt54k_akxehnf">
        <w:r>
          <w:rPr>
            <w:rFonts w:ascii="Times New Roman" w:cs="Times New Roman" w:eastAsia="Times New Roman" w:hAnsi="Times New Roman"/>
            <w:color w:val="1155CC"/>
            <w:sz w:val="22"/>
            <w:szCs w:val="22"/>
            <w:u w:val="single"/>
          </w:rPr>
          <w:t xml:space="preserve">Le couple rendement-risque — La Finance pour Tous</w:t>
        </w:r>
      </w:hyperlink>
      <w:r>
        <w:rPr>
          <w:rFonts w:ascii="Times New Roman" w:cs="Times New Roman" w:eastAsia="Times New Roman" w:hAnsi="Times New Roman"/>
          <w:color w:val="1F2937"/>
          <w:sz w:val="22"/>
          <w:szCs w:val="22"/>
        </w:rPr>
        <w:t xml:space="preserve"> — Définition, volatilité, prime de risque, diversification (source publique, neutre)</w:t>
      </w:r>
    </w:p>
    <w:p>
      <w:pPr>
        <w:spacing w:after="80" w:before="80"/>
      </w:pPr>
      <w:r>
        <w:rPr>
          <w:rFonts w:ascii="Times New Roman" w:cs="Times New Roman" w:eastAsia="Times New Roman" w:hAnsi="Times New Roman"/>
          <w:color w:val="1F2937"/>
          <w:sz w:val="22"/>
          <w:szCs w:val="22"/>
        </w:rPr>
        <w:t xml:space="preserve">→ </w:t>
      </w:r>
      <w:hyperlink w:history="1" r:id="rIdfxupubbe4yvnyb6cfhuhe">
        <w:r>
          <w:rPr>
            <w:rFonts w:ascii="Times New Roman" w:cs="Times New Roman" w:eastAsia="Times New Roman" w:hAnsi="Times New Roman"/>
            <w:color w:val="1155CC"/>
            <w:sz w:val="22"/>
            <w:szCs w:val="22"/>
            <w:u w:val="single"/>
          </w:rPr>
          <w:t xml:space="preserve">Placements : horizon, objectifs, tempérament — La Finance pour Tous</w:t>
        </w:r>
      </w:hyperlink>
      <w:r>
        <w:rPr>
          <w:rFonts w:ascii="Times New Roman" w:cs="Times New Roman" w:eastAsia="Times New Roman" w:hAnsi="Times New Roman"/>
          <w:color w:val="1F2937"/>
          <w:sz w:val="22"/>
          <w:szCs w:val="22"/>
        </w:rPr>
        <w:t xml:space="preserve"> — Lien horizon / risque / diversification par tranche de durée</w:t>
      </w:r>
    </w:p>
    <w:p>
      <w:pPr>
        <w:spacing w:after="80" w:before="80"/>
      </w:pPr>
      <w:r>
        <w:rPr>
          <w:rFonts w:ascii="Times New Roman" w:cs="Times New Roman" w:eastAsia="Times New Roman" w:hAnsi="Times New Roman"/>
          <w:color w:val="1F2937"/>
          <w:sz w:val="22"/>
          <w:szCs w:val="22"/>
        </w:rPr>
        <w:t xml:space="preserve">→ </w:t>
      </w:r>
      <w:hyperlink w:history="1" r:id="rIddjuokwj9gwpy7gov-4dan">
        <w:r>
          <w:rPr>
            <w:rFonts w:ascii="Times New Roman" w:cs="Times New Roman" w:eastAsia="Times New Roman" w:hAnsi="Times New Roman"/>
            <w:color w:val="1155CC"/>
            <w:sz w:val="22"/>
            <w:szCs w:val="22"/>
            <w:u w:val="single"/>
          </w:rPr>
          <w:t xml:space="preserve">Risk–return spectrum — Wikipedia EN</w:t>
        </w:r>
      </w:hyperlink>
      <w:r>
        <w:rPr>
          <w:rFonts w:ascii="Times New Roman" w:cs="Times New Roman" w:eastAsia="Times New Roman" w:hAnsi="Times New Roman"/>
          <w:color w:val="1F2937"/>
          <w:sz w:val="22"/>
          <w:szCs w:val="22"/>
        </w:rPr>
        <w:t xml:space="preserve"> — Hiérarchie des actifs, prime de risque, rôle de la diversification inter-classes</w:t>
      </w:r>
    </w:p>
    <w:p>
      <w:pPr>
        <w:spacing w:after="80" w:before="80"/>
      </w:pPr>
      <w:r>
        <w:rPr>
          <w:rFonts w:ascii="Times New Roman" w:cs="Times New Roman" w:eastAsia="Times New Roman" w:hAnsi="Times New Roman"/>
          <w:color w:val="1F2937"/>
          <w:sz w:val="22"/>
          <w:szCs w:val="22"/>
        </w:rPr>
        <w:t xml:space="preserve">→ </w:t>
      </w:r>
      <w:hyperlink w:history="1" r:id="rIdbkylfdmrwq4xzxffw1xxg">
        <w:r>
          <w:rPr>
            <w:rFonts w:ascii="Times New Roman" w:cs="Times New Roman" w:eastAsia="Times New Roman" w:hAnsi="Times New Roman"/>
            <w:color w:val="1155CC"/>
            <w:sz w:val="22"/>
            <w:szCs w:val="22"/>
            <w:u w:val="single"/>
          </w:rPr>
          <w:t xml:space="preserve">Diversification (finance) — Wikipedia EN</w:t>
        </w:r>
      </w:hyperlink>
      <w:r>
        <w:rPr>
          <w:rFonts w:ascii="Times New Roman" w:cs="Times New Roman" w:eastAsia="Times New Roman" w:hAnsi="Times New Roman"/>
          <w:color w:val="1F2937"/>
          <w:sz w:val="22"/>
          <w:szCs w:val="22"/>
        </w:rPr>
        <w:t xml:space="preserve"> — Réduction du risque idiosyncratique, nombre optimal de titres (15-30)</w:t>
      </w:r>
    </w:p>
    <w:p>
      <w:pPr>
        <w:spacing w:after="80" w:before="80"/>
      </w:pPr>
      <w:r>
        <w:rPr>
          <w:rFonts w:ascii="Times New Roman" w:cs="Times New Roman" w:eastAsia="Times New Roman" w:hAnsi="Times New Roman"/>
          <w:color w:val="1F2937"/>
          <w:sz w:val="22"/>
          <w:szCs w:val="22"/>
        </w:rPr>
        <w:t xml:space="preserve">→ </w:t>
      </w:r>
      <w:hyperlink w:history="1" r:id="rIdapd0vgiinobem0kp6wmnc">
        <w:r>
          <w:rPr>
            <w:rFonts w:ascii="Times New Roman" w:cs="Times New Roman" w:eastAsia="Times New Roman" w:hAnsi="Times New Roman"/>
            <w:color w:val="1155CC"/>
            <w:sz w:val="22"/>
            <w:szCs w:val="22"/>
            <w:u w:val="single"/>
          </w:rPr>
          <w:t xml:space="preserve">Comprendre la diversification — AMF (vidéo)</w:t>
        </w:r>
      </w:hyperlink>
      <w:r>
        <w:rPr>
          <w:rFonts w:ascii="Times New Roman" w:cs="Times New Roman" w:eastAsia="Times New Roman" w:hAnsi="Times New Roman"/>
          <w:color w:val="1F2937"/>
          <w:sz w:val="22"/>
          <w:szCs w:val="22"/>
        </w:rPr>
        <w:t xml:space="preserve"> — Vidéo pédagogique officielle du régulateur français</w:t>
      </w:r>
    </w:p>
    <w:p>
      <w:pPr>
        <w:spacing w:after="80" w:before="80"/>
      </w:pPr>
      <w:r>
        <w:rPr>
          <w:rFonts w:ascii="Times New Roman" w:cs="Times New Roman" w:eastAsia="Times New Roman" w:hAnsi="Times New Roman"/>
          <w:color w:val="1F2937"/>
          <w:sz w:val="22"/>
          <w:szCs w:val="22"/>
        </w:rPr>
        <w:t xml:space="preserve">→ </w:t>
      </w:r>
      <w:hyperlink w:history="1" r:id="rId7kdhhzpjgzw1lwy8yghv9">
        <w:r>
          <w:rPr>
            <w:rFonts w:ascii="Times New Roman" w:cs="Times New Roman" w:eastAsia="Times New Roman" w:hAnsi="Times New Roman"/>
            <w:color w:val="1155CC"/>
            <w:sz w:val="22"/>
            <w:szCs w:val="22"/>
            <w:u w:val="single"/>
          </w:rPr>
          <w:t xml:space="preserve">La Finance pour Tous — Placements</w:t>
        </w:r>
      </w:hyperlink>
      <w:r>
        <w:rPr>
          <w:rFonts w:ascii="Times New Roman" w:cs="Times New Roman" w:eastAsia="Times New Roman" w:hAnsi="Times New Roman"/>
          <w:color w:val="1F2937"/>
          <w:sz w:val="22"/>
          <w:szCs w:val="22"/>
        </w:rPr>
        <w:t xml:space="preserve"> — IEFP : portail public d'éducation financière — référence neutre</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Questions à poser à un conseiller agréé (CGP / CIF)</w:t>
      </w:r>
    </w:p>
    <w:p>
      <w:pPr>
        <w:spacing w:after="80" w:before="80"/>
      </w:pPr>
      <w:r>
        <w:rPr>
          <w:rFonts w:ascii="Times New Roman" w:cs="Times New Roman" w:eastAsia="Times New Roman" w:hAnsi="Times New Roman"/>
          <w:color w:val="1F2937"/>
          <w:sz w:val="22"/>
          <w:szCs w:val="22"/>
        </w:rPr>
        <w:t xml:space="preserve">Avant ou lors d'un rendez-vous avec un professionnel, ces questions t'aideront à cadrer la discussion :</w:t>
      </w:r>
    </w:p>
    <w:p>
      <w:pPr>
        <w:spacing w:after="80" w:before="80"/>
      </w:pPr>
      <w:r>
        <w:rPr>
          <w:rFonts w:ascii="Times New Roman" w:cs="Times New Roman" w:eastAsia="Times New Roman" w:hAnsi="Times New Roman"/>
          <w:color w:val="1F2937"/>
          <w:sz w:val="22"/>
          <w:szCs w:val="22"/>
        </w:rPr>
        <w:t xml:space="preserve"/>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Sur un horizon de 7-8 ans, quel niveau de risque (volatilité annuelle maximale acceptable) me conseillez-vous selon mon profil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Comment diversifieriez-vous un capital entre les principales classes d'actifs disponibles dans mon enveloppe fiscale (assurance-vie, PER, PEA)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Quelle serait la perte maximale envisageable dans un scénario de marché défavorable, sur cette allocation ? »</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Prochaine leçon — n°03</w:t>
      </w:r>
    </w:p>
    <w:p>
      <w:pPr>
        <w:spacing w:after="80" w:before="80"/>
      </w:pPr>
      <w:r>
        <w:rPr>
          <w:rFonts w:ascii="Times New Roman" w:cs="Times New Roman" w:eastAsia="Times New Roman" w:hAnsi="Times New Roman"/>
          <w:color w:val="1F2937"/>
          <w:sz w:val="22"/>
          <w:szCs w:val="22"/>
        </w:rPr>
        <w:t xml:space="preserve">Thème : Les classes d'actifs : monétaire/livrets, obligations, actions, immobilier</w:t>
      </w:r>
    </w:p>
    <w:p>
      <w:pPr>
        <w:spacing w:after="80" w:before="80"/>
      </w:pPr>
      <w:r>
        <w:rPr>
          <w:rFonts w:ascii="Times New Roman" w:cs="Times New Roman" w:eastAsia="Times New Roman" w:hAnsi="Times New Roman"/>
          <w:color w:val="1F2937"/>
          <w:sz w:val="22"/>
          <w:szCs w:val="22"/>
        </w:rPr>
        <w:t xml:space="preserve">Tu approfondiras le comportement de chaque grande famille d'actifs selon l'horizon de placement, leurs caractéristiques propres (liquidité, rendement, risque, fiscalité de base) et tu apprendras à reconnaître dans quelle « case » se situent les produits que tu rencontreras.</w:t>
      </w:r>
      <w:r>
        <w:rPr>
          <w:rFonts w:ascii="Times New Roman" w:cs="Times New Roman" w:eastAsia="Times New Roman" w:hAnsi="Times New Roman"/>
          <w:i/>
          <w:iCs/>
          <w:color w:val="6B7280"/>
          <w:sz w:val="20"/>
          <w:szCs w:val="20"/>
        </w:rPr>
        <w:t xml:space="preserve"> Thèmes annoncés : classes d'actifs, monétaire et livrets, obligations, actions, immobilier, horizon de placement, liquidité, fiscalité de base. [Ajouté le 26/09/2026 : cette ligne nomme, dans les termes de cette section même, ce que la leçon suivante devra traiter ou déclarer non traité. Elle est la condition du contrôle de continuité ajouté ce jour au prompt : sans elle, la leçon suivante ne peut pas être contrôlée sur ce qu'on lui a promis — c'est ce qui est arrivé entre la n°15 et la n°16.]</w:t>
      </w:r>
    </w:p>
    <w:p>
      <w:pPr>
        <w:pBdr>
          <w:bottom w:val="single" w:color="CCCCCC" w:sz="1"/>
        </w:pBdr>
        <w:spacing w:after="160" w:before="160"/>
      </w:pPr>
    </w:p>
    <w:p>
      <w:pPr>
        <w:spacing w:after="80" w:before="160"/>
        <w:jc w:val="center"/>
      </w:pPr>
      <w:r>
        <w:rPr>
          <w:rFonts w:ascii="Times New Roman" w:cs="Times New Roman" w:eastAsia="Times New Roman" w:hAnsi="Times New Roman"/>
          <w:i/>
          <w:iCs/>
          <w:color w:val="999999"/>
          <w:sz w:val="18"/>
          <w:szCs w:val="18"/>
        </w:rPr>
        <w:t xml:space="preserve">Éducation financière générale — sans conseil personnalisé — risque de perte en capital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nkz9-tadt54k_akxehnf" Type="http://schemas.openxmlformats.org/officeDocument/2006/relationships/hyperlink" Target="https://www.lafinancepourtous.com/decryptages/finance-perso/epargne-et-placement/le-couple-rendement-risque/" TargetMode="External"/><Relationship Id="rIdfxupubbe4yvnyb6cfhuhe" Type="http://schemas.openxmlformats.org/officeDocument/2006/relationships/hyperlink" Target="https://www.lafinancepourtous.com/pratique/placements/les-questions-clefs-avant-d-investir/horizon-objectifs-temperament/" TargetMode="External"/><Relationship Id="rIddjuokwj9gwpy7gov-4dan" Type="http://schemas.openxmlformats.org/officeDocument/2006/relationships/hyperlink" Target="https://en.wikipedia.org/wiki/Risk%E2%80%93return_spectrum" TargetMode="External"/><Relationship Id="rIdbkylfdmrwq4xzxffw1xxg" Type="http://schemas.openxmlformats.org/officeDocument/2006/relationships/hyperlink" Target="https://en.wikipedia.org/wiki/Diversification_(finance)" TargetMode="External"/><Relationship Id="rIdapd0vgiinobem0kp6wmnc" Type="http://schemas.openxmlformats.org/officeDocument/2006/relationships/hyperlink" Target="https://www.amf-france.org/Epargne-Info-Service/Videos-et-outils/Videos/Comprendre-la-diversification-des-placements-financiers.html" TargetMode="External"/><Relationship Id="rId7kdhhzpjgzw1lwy8yghv9" Type="http://schemas.openxmlformats.org/officeDocument/2006/relationships/hyperlink" Target="https://www.lafinancepourtous.com/pratique/placement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2026-06-20T06:07:21.708Z</dcterms:created>
  <dcterms:modified xsi:type="dcterms:W3CDTF">2026-06-20T06:07:21.725Z</dcterms:modified>
</cp:coreProperties>
</file>

<file path=docProps/custom.xml><?xml version="1.0" encoding="utf-8"?>
<Properties xmlns="http://schemas.openxmlformats.org/officeDocument/2006/custom-properties" xmlns:vt="http://schemas.openxmlformats.org/officeDocument/2006/docPropsVTypes"/>
</file>