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Placement financier n°03</w:t>
      </w:r>
    </w:p>
    <w:p>
      <w:pPr>
        <w:pStyle w:val="Heading1"/>
        <w:spacing w:after="200"/>
        <w:jc w:val="center"/>
      </w:pPr>
      <w:r>
        <w:rPr>
          <w:rFonts w:ascii="Times New Roman" w:cs="Times New Roman" w:eastAsia="Times New Roman" w:hAnsi="Times New Roman"/>
          <w:b/>
          <w:bCs/>
          <w:color w:val="1B3A6B"/>
          <w:sz w:val="52"/>
          <w:szCs w:val="52"/>
        </w:rPr>
        <w:t xml:space="preserve">Les classes d'actifs : monétaire, obligations, actions, immobilier</w:t>
      </w:r>
    </w:p>
    <w:p>
      <w:pPr>
        <w:spacing w:after="80"/>
        <w:jc w:val="center"/>
      </w:pPr>
      <w:r>
        <w:rPr>
          <w:rFonts w:ascii="Times New Roman" w:cs="Times New Roman" w:eastAsia="Times New Roman" w:hAnsi="Times New Roman"/>
          <w:i/>
          <w:iCs/>
          <w:color w:val="1B3A6B"/>
          <w:sz w:val="20"/>
          <w:szCs w:val="20"/>
        </w:rPr>
        <w:t xml:space="preserve">Date : 27 juin 2026  |  Module Fondamental — Leçon 3 sur 16</w:t>
      </w:r>
    </w:p>
    <w:p>
      <w:pPr>
        <w:spacing w:after="300"/>
        <w:jc w:val="center"/>
      </w:pPr>
      <w:r>
        <w:rPr>
          <w:rFonts w:ascii="Times New Roman" w:cs="Times New Roman" w:eastAsia="Times New Roman" w:hAnsi="Times New Roman"/>
          <w:i/>
          <w:iCs/>
          <w:color w:val="1B3A6B"/>
          <w:sz w:val="18"/>
          <w:szCs w:val="18"/>
        </w:rPr>
        <w:t xml:space="preserve">Parcours : Fondations (L1–L4) → Enveloppes (L5–L8) → Stratégie (L9–L12) → Protection &amp; Sortie (L13–L16)</w:t>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Nommer et distinguer les 4 grandes classes d'actifs (monétaire, obligations, actions, immobilier) et leurs caractéristiques essentielles.</w:t>
      </w:r>
    </w:p>
    <w:p>
      <w:pPr>
        <w:pStyle w:val="ListParagraph"/>
        <w:numPr>
          <w:ilvl w:val="0"/>
          <w:numId w:val="1"/>
        </w:numPr>
        <w:spacing w:after="80"/>
      </w:pPr>
      <w:r>
        <w:rPr>
          <w:rFonts w:ascii="Times New Roman" w:cs="Times New Roman" w:eastAsia="Times New Roman" w:hAnsi="Times New Roman"/>
          <w:color w:val="1F2937"/>
          <w:sz w:val="22"/>
          <w:szCs w:val="22"/>
        </w:rPr>
        <w:t xml:space="preserve">Associer chaque classe à un niveau de risque, un horizon de placement et un profil de liquidité.</w:t>
      </w:r>
    </w:p>
    <w:p>
      <w:pPr>
        <w:pStyle w:val="ListParagraph"/>
        <w:numPr>
          <w:ilvl w:val="0"/>
          <w:numId w:val="1"/>
        </w:numPr>
        <w:spacing w:after="80"/>
      </w:pPr>
      <w:r>
        <w:rPr>
          <w:rFonts w:ascii="Times New Roman" w:cs="Times New Roman" w:eastAsia="Times New Roman" w:hAnsi="Times New Roman"/>
          <w:color w:val="1F2937"/>
          <w:sz w:val="22"/>
          <w:szCs w:val="22"/>
        </w:rPr>
        <w:t xml:space="preserve">Comprendre pourquoi l'horizon de 7–8 ans conditionne le choix des classes (notion abordée en L1).</w:t>
      </w:r>
    </w:p>
    <w:p>
      <w:r>
        <w:t xml:space="preserve"/>
      </w:r>
    </w:p>
    <w:p>
      <w:pPr>
        <w:spacing w:after="120"/>
      </w:pPr>
      <w:r>
        <w:rPr>
          <w:rFonts w:ascii="Times New Roman" w:cs="Times New Roman" w:eastAsia="Times New Roman" w:hAnsi="Times New Roman"/>
          <w:color w:val="1F2937"/>
          <w:sz w:val="22"/>
          <w:szCs w:val="22"/>
        </w:rPr>
        <w:t xml:space="preserve">🔗 Continuité avec L1 (horizon &amp; profil de risque) et L2 (couple rendement/risque, diversification) : les classes d'actifs sont les briques concrètes sur lesquelles s'appliquent ces principes. La L4 complétera avec les intérêts composés et l'inflation.</w:t>
      </w:r>
    </w:p>
    <w:p>
      <w:r>
        <w:t xml:space="preserve"/>
      </w:r>
    </w:p>
    <w:p>
      <w:pPr>
        <w:shd w:fill="EEF2F7" w:val="clear"/>
        <w:spacing w:after="120" w:before="120"/>
        <w:ind w:left="360" w:right="360"/>
      </w:pPr>
      <w:r>
        <w:rPr>
          <w:rFonts w:ascii="Times New Roman" w:cs="Times New Roman" w:eastAsia="Times New Roman" w:hAnsi="Times New Roman"/>
          <w:color w:val="1F2937"/>
          <w:sz w:val="22"/>
          <w:szCs w:val="22"/>
        </w:rPr>
        <w:t xml:space="preserve">⚖️ Rappel déontologique — Cette leçon relève de l'éducation financière générale. Elle ne constitue pas un conseil en investissement personnalisé. Tout placement comporte un RISQUE DE PERTE EN CAPITAL. Pour toute décision, consulte un conseiller en gestion de patrimoine (CGP) ou un CIF agréé par l'AMF.</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Théorie (20 %) — Les 4 grandes classes d'actifs</w:t>
      </w:r>
    </w:p>
    <w:p>
      <w:pPr>
        <w:pStyle w:val="Heading3"/>
        <w:spacing w:after="80" w:before="200"/>
      </w:pPr>
      <w:r>
        <w:rPr>
          <w:rFonts w:ascii="Times New Roman" w:cs="Times New Roman" w:eastAsia="Times New Roman" w:hAnsi="Times New Roman"/>
          <w:b/>
          <w:bCs/>
          <w:color w:val="1F2937"/>
          <w:sz w:val="26"/>
          <w:szCs w:val="26"/>
        </w:rPr>
        <w:t xml:space="preserve">Qu'est-ce qu'une classe d'actifs ?</w:t>
      </w:r>
    </w:p>
    <w:p>
      <w:pPr>
        <w:spacing w:after="120"/>
      </w:pPr>
      <w:r>
        <w:rPr>
          <w:rFonts w:ascii="Times New Roman" w:cs="Times New Roman" w:eastAsia="Times New Roman" w:hAnsi="Times New Roman"/>
          <w:color w:val="1F2937"/>
          <w:sz w:val="22"/>
          <w:szCs w:val="22"/>
        </w:rPr>
        <w:t xml:space="preserve">Une classe d'actifs est un ensemble de supports d'investissement partageant des caractéristiques similaires : comportement face au marché, niveau de risque, horizon de placement, et fiscalité. La Finance pour Tous définit ainsi les principales classes : argent liquide, obligations, actions, immobilier (et en complément : matières premières, produits dérivés).</w:t>
      </w:r>
    </w:p>
    <w:p>
      <w:pPr>
        <w:spacing w:after="120"/>
      </w:pPr>
      <w:r>
        <w:rPr>
          <w:rFonts w:ascii="Times New Roman" w:cs="Times New Roman" w:eastAsia="Times New Roman" w:hAnsi="Times New Roman"/>
          <w:color w:val="1F2937"/>
          <w:sz w:val="22"/>
          <w:szCs w:val="22"/>
        </w:rPr>
        <w:t xml:space="preserve">Le principe fondateur (vu en L2) reste central : à chaque classe, son couple rendement/risque. Plus une classe offre un rendement potentiellement élevé, plus elle expose à un risque de perte.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1. Le monétaire — la base de toute stratégie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Placements à très court terme, à capital quasi certain : Livret A (taux réglementé actuellement à 2,4 % en 2026), livret de développement durable (LDDS), comptes à terme, fonds monétaires.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Très faible. Le capital est préservé. Le risque principal est l'érosion par l'inflation si le taux servi est inférieur à elle.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Faible (souvent proche ou inférieur à l'inflation). En 2025, le Livret A à 3 % battait légèrement l'inflation ; ce n'est pas toujours le cas.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Court terme (&lt; 2 ans), ou épargne de précaution (3 à 6 mois de charges courantes).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Quasi immédiate (retrait sous 24–72 h pour les livrets réglementés).</w:t>
      </w:r>
    </w:p>
    <w:p>
      <w:pPr>
        <w:spacing w:after="120"/>
        <w:ind w:left="720"/>
      </w:pPr>
      <w:r>
        <w:rPr>
          <w:rFonts w:ascii="Times New Roman" w:cs="Times New Roman" w:eastAsia="Times New Roman" w:hAnsi="Times New Roman"/>
          <w:i/>
          <w:iCs/>
          <w:color w:val="1B3A6B"/>
          <w:sz w:val="22"/>
          <w:szCs w:val="22"/>
        </w:rPr>
        <w:t xml:space="preserve">Le monétaire n'est pas un placement de croissance : c'est le socle de sécurité avant tout investissement.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2. Les obligations — entre sécurité et rendement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Une obligation est un titre de créance émis par un État (ex : OAT française) ou une entreprise pour emprunter de l'argent. En achetant une obligation, tu deviens créancier : tu perçois un coupon (intérêt) périodique, et le capital est remboursé à l'échéance.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Modéré. Deux risques principaux : le risque de taux (si les taux montent, la valeur de marché de l'obligation baisse) et le risque de crédit (si l'émetteur fait défaut). Les obligations d'État des pays solides (France, Allemagne) sont moins risquées que les obligations d'entreprises.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Modéré. Supérieur au monétaire sur le moyen terme, inférieur aux actions sur le long terme.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Moyen terme (3–5 ans minimum). Si tu vends avant l'échéance, la valeur peut fluctuer selon l'évolution des taux.</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Bonne sur les marchés secondaires pour les grandes émissions ; plus limitée pour certaines obligations d'entreprises.</w:t>
      </w:r>
    </w:p>
    <w:p>
      <w:pPr>
        <w:spacing w:after="120"/>
        <w:ind w:left="720"/>
      </w:pPr>
      <w:r>
        <w:rPr>
          <w:rFonts w:ascii="Times New Roman" w:cs="Times New Roman" w:eastAsia="Times New Roman" w:hAnsi="Times New Roman"/>
          <w:i/>
          <w:iCs/>
          <w:color w:val="1B3A6B"/>
          <w:sz w:val="22"/>
          <w:szCs w:val="22"/>
        </w:rPr>
        <w:t xml:space="preserve">Selon La Finance pour Tous : « Les obligations constituent un investissement de moyen et long terme. » Elles sont adaptées aux investisseurs cherchant un revenu régulier avec un risque limité si elles sont détenues jusqu'à l'échéance.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3. Les actions — moteur de la croissance long terme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Une action représente une fraction du capital d'une entreprise. En achetant une action, tu deviens actionnaire : tu participeras aux bénéfices (dividendes) et à la valorisation (plus-value ou moins-value à la revente).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Élevé. La valeur d'une action peut fluctuer fortement (volatilité), et peut tomber à zéro en cas de faillite de l'entreprise. C'est le risque de perte totale.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Potentiellement élevé sur le long terme. Les indices boursiers (CAC 40, MSCI World) affichent historiquement des rendements annualisés de l'ordre de 5–8 % sur des périodes de 10 ans+, mais avec de fortes variations d'une année à l'autre. RAPPEL : les performances passées ne préjugent pas des performances futures.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Long terme (5–10 ans minimum). Sur le court terme, la bourse peut perdre 20 à 50 % de sa valeur en quelques mois (ex : crises 2000, 2008, 2020). Le temps amorti la volatilité.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Bonne pour les actions cotées sur des marchés réglementés (vente en quelques secondes). Nulle pour les actions d'entreprises non cotées.</w:t>
      </w:r>
    </w:p>
    <w:p>
      <w:pPr>
        <w:spacing w:after="120"/>
        <w:ind w:left="720"/>
      </w:pPr>
      <w:r>
        <w:rPr>
          <w:rFonts w:ascii="Times New Roman" w:cs="Times New Roman" w:eastAsia="Times New Roman" w:hAnsi="Times New Roman"/>
          <w:i/>
          <w:iCs/>
          <w:color w:val="1B3A6B"/>
          <w:sz w:val="22"/>
          <w:szCs w:val="22"/>
        </w:rPr>
        <w:t xml:space="preserve">La Finance pour Tous souligne qu'investir en actions requiert « une épargne préalable solide » et « du temps » — deux conditions nécessaires avant d'y engager des fonds.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4. L'immobilier — tangibilité et illiquidité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Deux formes : l'immobilier physique (achat direct d'un bien locatif) et la « pierre-papier » (SCPI, OPCI) qui permet d'investir indirectement dans un patrimoine immobilier géré par des professionnels, avec des mises de départ plus faibles.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Moyen. Risques spécifiques : vacance locative, baisse des prix immobiliers, travaux imprévus, concentration géographique. Les SCPI ajoutent un risque de marché secondaire et de liquidité.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Moyen à modérément élevé (rendements locatifs bruts SCPI : 4–6 % selon les années, mais variables et non garantis). Les frais d'entrée sont élevés (voir L9).</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Long terme (8–10 ans minimum) pour amortir les frais d'acquisition et les cycles immobiliers.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Faible pour l'immobilier physique (vente en plusieurs mois). Partielle pour les SCPI (marché secondaire, délais variables).</w:t>
      </w:r>
    </w:p>
    <w:p>
      <w:pPr>
        <w:spacing w:after="120"/>
        <w:ind w:left="720"/>
      </w:pPr>
      <w:r>
        <w:rPr>
          <w:rFonts w:ascii="Times New Roman" w:cs="Times New Roman" w:eastAsia="Times New Roman" w:hAnsi="Times New Roman"/>
          <w:i/>
          <w:iCs/>
          <w:color w:val="1B3A6B"/>
          <w:sz w:val="22"/>
          <w:szCs w:val="22"/>
        </w:rPr>
        <w:t xml:space="preserve">L'immobilier a l'avantage psychologique de la tangibilité (« je possède quelque chose »), mais son illiquidité est une contrainte majeure sur un horizon de 7–8 ans.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Tableau synthétique des 4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Classe</w:t>
            </w:r>
          </w:p>
        </w:tc>
        <w:tc>
          <w:tcPr>
            <w:shd w:fill="1B3A6B" w:val="clear"/>
          </w:tcPr>
          <w:p>
            <w:pPr>
              <w:jc w:val="center"/>
            </w:pPr>
            <w:r>
              <w:rPr>
                <w:rFonts w:ascii="Times New Roman" w:cs="Times New Roman" w:eastAsia="Times New Roman" w:hAnsi="Times New Roman"/>
                <w:b/>
                <w:bCs/>
                <w:color w:val="FFFFFF"/>
                <w:sz w:val="20"/>
                <w:szCs w:val="20"/>
              </w:rPr>
              <w:t xml:space="preserve">Exemples</w:t>
            </w:r>
          </w:p>
        </w:tc>
        <w:tc>
          <w:tcPr>
            <w:shd w:fill="1B3A6B" w:val="clear"/>
          </w:tcPr>
          <w:p>
            <w:pPr>
              <w:jc w:val="center"/>
            </w:pPr>
            <w:r>
              <w:rPr>
                <w:rFonts w:ascii="Times New Roman" w:cs="Times New Roman" w:eastAsia="Times New Roman" w:hAnsi="Times New Roman"/>
                <w:b/>
                <w:bCs/>
                <w:color w:val="FFFFFF"/>
                <w:sz w:val="20"/>
                <w:szCs w:val="20"/>
              </w:rPr>
              <w:t xml:space="preserve">Risque</w:t>
            </w:r>
          </w:p>
        </w:tc>
        <w:tc>
          <w:tcPr>
            <w:shd w:fill="1B3A6B" w:val="clear"/>
          </w:tcPr>
          <w:p>
            <w:pPr>
              <w:jc w:val="center"/>
            </w:pPr>
            <w:r>
              <w:rPr>
                <w:rFonts w:ascii="Times New Roman" w:cs="Times New Roman" w:eastAsia="Times New Roman" w:hAnsi="Times New Roman"/>
                <w:b/>
                <w:bCs/>
                <w:color w:val="FFFFFF"/>
                <w:sz w:val="20"/>
                <w:szCs w:val="20"/>
              </w:rPr>
              <w:t xml:space="preserve">Rendement attendu</w:t>
            </w:r>
          </w:p>
        </w:tc>
        <w:tc>
          <w:tcPr>
            <w:shd w:fill="1B3A6B" w:val="clear"/>
          </w:tcPr>
          <w:p>
            <w:pPr>
              <w:jc w:val="center"/>
            </w:pPr>
            <w:r>
              <w:rPr>
                <w:rFonts w:ascii="Times New Roman" w:cs="Times New Roman" w:eastAsia="Times New Roman" w:hAnsi="Times New Roman"/>
                <w:b/>
                <w:bCs/>
                <w:color w:val="FFFFFF"/>
                <w:sz w:val="20"/>
                <w:szCs w:val="20"/>
              </w:rPr>
              <w:t xml:space="preserve">Horizon minimal</w:t>
            </w:r>
          </w:p>
        </w:tc>
        <w:tc>
          <w:tcPr>
            <w:shd w:fill="1B3A6B" w:val="clear"/>
          </w:tcPr>
          <w:p>
            <w:pPr>
              <w:jc w:val="center"/>
            </w:pPr>
            <w:r>
              <w:rPr>
                <w:rFonts w:ascii="Times New Roman" w:cs="Times New Roman" w:eastAsia="Times New Roman" w:hAnsi="Times New Roman"/>
                <w:b/>
                <w:bCs/>
                <w:color w:val="FFFFFF"/>
                <w:sz w:val="20"/>
                <w:szCs w:val="20"/>
              </w:rPr>
              <w:t xml:space="preserve">Liquidité</w:t>
            </w:r>
          </w:p>
        </w:tc>
      </w:tr>
      <w:tr>
        <w:tc>
          <w:tcPr>
            <w:shd w:fill="EEF2F7" w:val="clear"/>
          </w:tcPr>
          <w:p>
            <w:r>
              <w:rPr>
                <w:rFonts w:ascii="Times New Roman" w:cs="Times New Roman" w:eastAsia="Times New Roman" w:hAnsi="Times New Roman"/>
                <w:color w:val="1F2937"/>
                <w:sz w:val="20"/>
                <w:szCs w:val="20"/>
              </w:rPr>
              <w:t xml:space="preserve">Monétaire</w:t>
            </w:r>
          </w:p>
        </w:tc>
        <w:tc>
          <w:tcPr>
            <w:shd w:fill="EEF2F7" w:val="clear"/>
          </w:tcPr>
          <w:p>
            <w:r>
              <w:rPr>
                <w:rFonts w:ascii="Times New Roman" w:cs="Times New Roman" w:eastAsia="Times New Roman" w:hAnsi="Times New Roman"/>
                <w:color w:val="1F2937"/>
                <w:sz w:val="20"/>
                <w:szCs w:val="20"/>
              </w:rPr>
              <w:t xml:space="preserve">Livret A, fonds monétaires, compte à terme</w:t>
            </w:r>
          </w:p>
        </w:tc>
        <w:tc>
          <w:tcPr>
            <w:shd w:fill="EEF2F7" w:val="clear"/>
          </w:tcPr>
          <w:p>
            <w:r>
              <w:rPr>
                <w:rFonts w:ascii="Times New Roman" w:cs="Times New Roman" w:eastAsia="Times New Roman" w:hAnsi="Times New Roman"/>
                <w:color w:val="1F2937"/>
                <w:sz w:val="20"/>
                <w:szCs w:val="20"/>
              </w:rPr>
              <w:t xml:space="preserve">Très faible</w:t>
            </w:r>
          </w:p>
        </w:tc>
        <w:tc>
          <w:tcPr>
            <w:shd w:fill="EEF2F7" w:val="clear"/>
          </w:tcPr>
          <w:p>
            <w:r>
              <w:rPr>
                <w:rFonts w:ascii="Times New Roman" w:cs="Times New Roman" w:eastAsia="Times New Roman" w:hAnsi="Times New Roman"/>
                <w:color w:val="1F2937"/>
                <w:sz w:val="20"/>
                <w:szCs w:val="20"/>
              </w:rPr>
              <w:t xml:space="preserve">Faible (proche inflation)</w:t>
            </w:r>
          </w:p>
        </w:tc>
        <w:tc>
          <w:tcPr>
            <w:shd w:fill="EEF2F7" w:val="clear"/>
          </w:tcPr>
          <w:p>
            <w:r>
              <w:rPr>
                <w:rFonts w:ascii="Times New Roman" w:cs="Times New Roman" w:eastAsia="Times New Roman" w:hAnsi="Times New Roman"/>
                <w:color w:val="1F2937"/>
                <w:sz w:val="20"/>
                <w:szCs w:val="20"/>
              </w:rPr>
              <w:t xml:space="preserve">Court terme (&lt; 2 ans)</w:t>
            </w:r>
          </w:p>
        </w:tc>
        <w:tc>
          <w:tcPr>
            <w:shd w:fill="EEF2F7" w:val="clear"/>
          </w:tcPr>
          <w:p>
            <w:r>
              <w:rPr>
                <w:rFonts w:ascii="Times New Roman" w:cs="Times New Roman" w:eastAsia="Times New Roman" w:hAnsi="Times New Roman"/>
                <w:color w:val="1F2937"/>
                <w:sz w:val="20"/>
                <w:szCs w:val="20"/>
              </w:rPr>
              <w:t xml:space="preserve">Immédiate</w:t>
            </w:r>
          </w:p>
        </w:tc>
      </w:tr>
      <w:tr>
        <w:tc>
          <w:tcPr>
            <w:shd w:fill="FFFFFF" w:val="clear"/>
          </w:tcPr>
          <w:p>
            <w:r>
              <w:rPr>
                <w:rFonts w:ascii="Times New Roman" w:cs="Times New Roman" w:eastAsia="Times New Roman" w:hAnsi="Times New Roman"/>
                <w:color w:val="1F2937"/>
                <w:sz w:val="20"/>
                <w:szCs w:val="20"/>
              </w:rPr>
              <w:t xml:space="preserve">Obligations</w:t>
            </w:r>
          </w:p>
        </w:tc>
        <w:tc>
          <w:tcPr>
            <w:shd w:fill="FFFFFF" w:val="clear"/>
          </w:tcPr>
          <w:p>
            <w:r>
              <w:rPr>
                <w:rFonts w:ascii="Times New Roman" w:cs="Times New Roman" w:eastAsia="Times New Roman" w:hAnsi="Times New Roman"/>
                <w:color w:val="1F2937"/>
                <w:sz w:val="20"/>
                <w:szCs w:val="20"/>
              </w:rPr>
              <w:t xml:space="preserve">Obligations d'État (OAT), obligations d'entreprises</w:t>
            </w:r>
          </w:p>
        </w:tc>
        <w:tc>
          <w:tcPr>
            <w:shd w:fill="FFFFFF" w:val="clear"/>
          </w:tcPr>
          <w:p>
            <w:r>
              <w:rPr>
                <w:rFonts w:ascii="Times New Roman" w:cs="Times New Roman" w:eastAsia="Times New Roman" w:hAnsi="Times New Roman"/>
                <w:color w:val="1F2937"/>
                <w:sz w:val="20"/>
                <w:szCs w:val="20"/>
              </w:rPr>
              <w:t xml:space="preserve">Faible à modéré</w:t>
            </w:r>
          </w:p>
        </w:tc>
        <w:tc>
          <w:tcPr>
            <w:shd w:fill="FFFFFF" w:val="clear"/>
          </w:tcPr>
          <w:p>
            <w:r>
              <w:rPr>
                <w:rFonts w:ascii="Times New Roman" w:cs="Times New Roman" w:eastAsia="Times New Roman" w:hAnsi="Times New Roman"/>
                <w:color w:val="1F2937"/>
                <w:sz w:val="20"/>
                <w:szCs w:val="20"/>
              </w:rPr>
              <w:t xml:space="preserve">Modéré (&gt; inflation légèrement)</w:t>
            </w:r>
          </w:p>
        </w:tc>
        <w:tc>
          <w:tcPr>
            <w:shd w:fill="FFFFFF" w:val="clear"/>
          </w:tcPr>
          <w:p>
            <w:r>
              <w:rPr>
                <w:rFonts w:ascii="Times New Roman" w:cs="Times New Roman" w:eastAsia="Times New Roman" w:hAnsi="Times New Roman"/>
                <w:color w:val="1F2937"/>
                <w:sz w:val="20"/>
                <w:szCs w:val="20"/>
              </w:rPr>
              <w:t xml:space="preserve">Moyen terme (3–5 ans)</w:t>
            </w:r>
          </w:p>
        </w:tc>
        <w:tc>
          <w:tcPr>
            <w:shd w:fill="FFFFFF" w:val="clear"/>
          </w:tcPr>
          <w:p>
            <w:r>
              <w:rPr>
                <w:rFonts w:ascii="Times New Roman" w:cs="Times New Roman" w:eastAsia="Times New Roman" w:hAnsi="Times New Roman"/>
                <w:color w:val="1F2937"/>
                <w:sz w:val="20"/>
                <w:szCs w:val="20"/>
              </w:rPr>
              <w:t xml:space="preserve">Bonne (marché secondaire)</w:t>
            </w:r>
          </w:p>
        </w:tc>
      </w:tr>
      <w:tr>
        <w:tc>
          <w:tcPr>
            <w:shd w:fill="EEF2F7" w:val="clear"/>
          </w:tcPr>
          <w:p>
            <w:r>
              <w:rPr>
                <w:rFonts w:ascii="Times New Roman" w:cs="Times New Roman" w:eastAsia="Times New Roman" w:hAnsi="Times New Roman"/>
                <w:color w:val="1F2937"/>
                <w:sz w:val="20"/>
                <w:szCs w:val="20"/>
              </w:rPr>
              <w:t xml:space="preserve">Actions</w:t>
            </w:r>
          </w:p>
        </w:tc>
        <w:tc>
          <w:tcPr>
            <w:shd w:fill="EEF2F7" w:val="clear"/>
          </w:tcPr>
          <w:p>
            <w:r>
              <w:rPr>
                <w:rFonts w:ascii="Times New Roman" w:cs="Times New Roman" w:eastAsia="Times New Roman" w:hAnsi="Times New Roman"/>
                <w:color w:val="1F2937"/>
                <w:sz w:val="20"/>
                <w:szCs w:val="20"/>
              </w:rPr>
              <w:t xml:space="preserve">Actions cotées, ETF actions, fonds actions</w:t>
            </w:r>
          </w:p>
        </w:tc>
        <w:tc>
          <w:tcPr>
            <w:shd w:fill="EEF2F7" w:val="clear"/>
          </w:tcPr>
          <w:p>
            <w:r>
              <w:rPr>
                <w:rFonts w:ascii="Times New Roman" w:cs="Times New Roman" w:eastAsia="Times New Roman" w:hAnsi="Times New Roman"/>
                <w:color w:val="1F2937"/>
                <w:sz w:val="20"/>
                <w:szCs w:val="20"/>
              </w:rPr>
              <w:t xml:space="preserve">Élevé (perte totale possible)</w:t>
            </w:r>
          </w:p>
        </w:tc>
        <w:tc>
          <w:tcPr>
            <w:shd w:fill="EEF2F7" w:val="clear"/>
          </w:tcPr>
          <w:p>
            <w:r>
              <w:rPr>
                <w:rFonts w:ascii="Times New Roman" w:cs="Times New Roman" w:eastAsia="Times New Roman" w:hAnsi="Times New Roman"/>
                <w:color w:val="1F2937"/>
                <w:sz w:val="20"/>
                <w:szCs w:val="20"/>
              </w:rPr>
              <w:t xml:space="preserve">Potentiellement élevé (historique 5–7 %/an)</w:t>
            </w:r>
          </w:p>
        </w:tc>
        <w:tc>
          <w:tcPr>
            <w:shd w:fill="EEF2F7" w:val="clear"/>
          </w:tcPr>
          <w:p>
            <w:r>
              <w:rPr>
                <w:rFonts w:ascii="Times New Roman" w:cs="Times New Roman" w:eastAsia="Times New Roman" w:hAnsi="Times New Roman"/>
                <w:color w:val="1F2937"/>
                <w:sz w:val="20"/>
                <w:szCs w:val="20"/>
              </w:rPr>
              <w:t xml:space="preserve">Long terme (5–10 ans+)</w:t>
            </w:r>
          </w:p>
        </w:tc>
        <w:tc>
          <w:tcPr>
            <w:shd w:fill="EEF2F7" w:val="clear"/>
          </w:tcPr>
          <w:p>
            <w:r>
              <w:rPr>
                <w:rFonts w:ascii="Times New Roman" w:cs="Times New Roman" w:eastAsia="Times New Roman" w:hAnsi="Times New Roman"/>
                <w:color w:val="1F2937"/>
                <w:sz w:val="20"/>
                <w:szCs w:val="20"/>
              </w:rPr>
              <w:t xml:space="preserve">Bonne (marchés réglementés)</w:t>
            </w:r>
          </w:p>
        </w:tc>
      </w:tr>
      <w:tr>
        <w:tc>
          <w:tcPr>
            <w:shd w:fill="FFFFFF" w:val="clear"/>
          </w:tcPr>
          <w:p>
            <w:r>
              <w:rPr>
                <w:rFonts w:ascii="Times New Roman" w:cs="Times New Roman" w:eastAsia="Times New Roman" w:hAnsi="Times New Roman"/>
                <w:color w:val="1F2937"/>
                <w:sz w:val="20"/>
                <w:szCs w:val="20"/>
              </w:rPr>
              <w:t xml:space="preserve">Immobilier</w:t>
            </w:r>
          </w:p>
        </w:tc>
        <w:tc>
          <w:tcPr>
            <w:shd w:fill="FFFFFF" w:val="clear"/>
          </w:tcPr>
          <w:p>
            <w:r>
              <w:rPr>
                <w:rFonts w:ascii="Times New Roman" w:cs="Times New Roman" w:eastAsia="Times New Roman" w:hAnsi="Times New Roman"/>
                <w:color w:val="1F2937"/>
                <w:sz w:val="20"/>
                <w:szCs w:val="20"/>
              </w:rPr>
              <w:t xml:space="preserve">Immobilier physique, SCPI, OPCI</w:t>
            </w:r>
          </w:p>
        </w:tc>
        <w:tc>
          <w:tcPr>
            <w:shd w:fill="FFFFFF" w:val="clear"/>
          </w:tcPr>
          <w:p>
            <w:r>
              <w:rPr>
                <w:rFonts w:ascii="Times New Roman" w:cs="Times New Roman" w:eastAsia="Times New Roman" w:hAnsi="Times New Roman"/>
                <w:color w:val="1F2937"/>
                <w:sz w:val="20"/>
                <w:szCs w:val="20"/>
              </w:rPr>
              <w:t xml:space="preserve">Moyen (marchés locaux, liquidité limitée)</w:t>
            </w:r>
          </w:p>
        </w:tc>
        <w:tc>
          <w:tcPr>
            <w:shd w:fill="FFFFFF" w:val="clear"/>
          </w:tcPr>
          <w:p>
            <w:r>
              <w:rPr>
                <w:rFonts w:ascii="Times New Roman" w:cs="Times New Roman" w:eastAsia="Times New Roman" w:hAnsi="Times New Roman"/>
                <w:color w:val="1F2937"/>
                <w:sz w:val="20"/>
                <w:szCs w:val="20"/>
              </w:rPr>
              <w:t xml:space="preserve">Moyen à modérément élevé</w:t>
            </w:r>
          </w:p>
        </w:tc>
        <w:tc>
          <w:tcPr>
            <w:shd w:fill="FFFFFF" w:val="clear"/>
          </w:tcPr>
          <w:p>
            <w:r>
              <w:rPr>
                <w:rFonts w:ascii="Times New Roman" w:cs="Times New Roman" w:eastAsia="Times New Roman" w:hAnsi="Times New Roman"/>
                <w:color w:val="1F2937"/>
                <w:sz w:val="20"/>
                <w:szCs w:val="20"/>
              </w:rPr>
              <w:t xml:space="preserve">Long terme (8–10 ans+)</w:t>
            </w:r>
          </w:p>
        </w:tc>
        <w:tc>
          <w:tcPr>
            <w:shd w:fill="FFFFFF" w:val="clear"/>
          </w:tcPr>
          <w:p>
            <w:r>
              <w:rPr>
                <w:rFonts w:ascii="Times New Roman" w:cs="Times New Roman" w:eastAsia="Times New Roman" w:hAnsi="Times New Roman"/>
                <w:color w:val="1F2937"/>
                <w:sz w:val="20"/>
                <w:szCs w:val="20"/>
              </w:rPr>
              <w:t xml:space="preserve">Faible (immobilier physique) à moyenne (SCPI)</w:t>
            </w:r>
          </w:p>
        </w:tc>
      </w:tr>
    </w:tbl>
    <w:p>
      <w:r>
        <w:t xml:space="preserve"/>
      </w:r>
    </w:p>
    <w:p>
      <w:pPr>
        <w:spacing w:after="120"/>
      </w:pPr>
      <w:r>
        <w:rPr>
          <w:rFonts w:ascii="Times New Roman" w:cs="Times New Roman" w:eastAsia="Times New Roman" w:hAnsi="Times New Roman"/>
          <w:color w:val="1F2937"/>
          <w:sz w:val="22"/>
          <w:szCs w:val="22"/>
        </w:rPr>
        <w:t xml:space="preserve">⚠️ Ce tableau est indicatif et à titre pédagogique. Les rendements passés ne garantissent pas les rendements futurs. Risque de perte en capital sur toutes les classes sauf le monétaire réglementé.</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Pratique (80 %) — 3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Associer horizon et classe d'actifs</w:t>
      </w:r>
    </w:p>
    <w:p>
      <w:pPr>
        <w:spacing w:after="120"/>
      </w:pPr>
      <w:r>
        <w:rPr>
          <w:rFonts w:ascii="Times New Roman" w:cs="Times New Roman" w:eastAsia="Times New Roman" w:hAnsi="Times New Roman"/>
          <w:color w:val="1F2937"/>
          <w:sz w:val="22"/>
          <w:szCs w:val="22"/>
        </w:rPr>
        <w:t xml:space="preserve">Complète le tableau suivant en indiquant quelle(s) classe(s) d'actifs seraient logiquement pertinentes pour chaque situation (sans recommandation personnalisée — c'est un exercice de compréhension des mécanismes).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Situation</w:t>
            </w:r>
          </w:p>
        </w:tc>
        <w:tc>
          <w:tcPr>
            <w:shd w:fill="1B3A6B" w:val="clear"/>
          </w:tcPr>
          <w:p>
            <w:pPr>
              <w:jc w:val="center"/>
            </w:pPr>
            <w:r>
              <w:rPr>
                <w:rFonts w:ascii="Times New Roman" w:cs="Times New Roman" w:eastAsia="Times New Roman" w:hAnsi="Times New Roman"/>
                <w:b/>
                <w:bCs/>
                <w:color w:val="FFFFFF"/>
                <w:sz w:val="20"/>
                <w:szCs w:val="20"/>
              </w:rPr>
              <w:t xml:space="preserve">Horizon</w:t>
            </w:r>
          </w:p>
        </w:tc>
        <w:tc>
          <w:tcPr>
            <w:shd w:fill="1B3A6B" w:val="clear"/>
          </w:tcPr>
          <w:p>
            <w:pPr>
              <w:jc w:val="center"/>
            </w:pPr>
            <w:r>
              <w:rPr>
                <w:rFonts w:ascii="Times New Roman" w:cs="Times New Roman" w:eastAsia="Times New Roman" w:hAnsi="Times New Roman"/>
                <w:b/>
                <w:bCs/>
                <w:color w:val="FFFFFF"/>
                <w:sz w:val="20"/>
                <w:szCs w:val="20"/>
              </w:rPr>
              <w:t xml:space="preserve">Classe(s) pertinente(s) — à compléter</w:t>
            </w:r>
          </w:p>
        </w:tc>
      </w:tr>
      <w:tr>
        <w:tc>
          <w:tcPr>
            <w:shd w:fill="EEF2F7" w:val="clear"/>
          </w:tcPr>
          <w:p>
            <w:r>
              <w:rPr>
                <w:rFonts w:ascii="Times New Roman" w:cs="Times New Roman" w:eastAsia="Times New Roman" w:hAnsi="Times New Roman"/>
                <w:color w:val="1F2937"/>
                <w:sz w:val="20"/>
                <w:szCs w:val="20"/>
              </w:rPr>
              <w:t xml:space="preserve">Épargne de précaution (3 mois de charges)</w:t>
            </w:r>
          </w:p>
        </w:tc>
        <w:tc>
          <w:tcPr>
            <w:shd w:fill="EEF2F7" w:val="clear"/>
          </w:tcPr>
          <w:p>
            <w:r>
              <w:rPr>
                <w:rFonts w:ascii="Times New Roman" w:cs="Times New Roman" w:eastAsia="Times New Roman" w:hAnsi="Times New Roman"/>
                <w:color w:val="1F2937"/>
                <w:sz w:val="20"/>
                <w:szCs w:val="20"/>
              </w:rPr>
              <w:t xml:space="preserve">Immédiat</w:t>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Projet voiture dans 3 ans</w:t>
            </w:r>
          </w:p>
        </w:tc>
        <w:tc>
          <w:tcPr>
            <w:shd w:fill="FFFFFF" w:val="clear"/>
          </w:tcPr>
          <w:p>
            <w:r>
              <w:rPr>
                <w:rFonts w:ascii="Times New Roman" w:cs="Times New Roman" w:eastAsia="Times New Roman" w:hAnsi="Times New Roman"/>
                <w:color w:val="1F2937"/>
                <w:sz w:val="20"/>
                <w:szCs w:val="20"/>
              </w:rPr>
              <w:t xml:space="preserve">Court-moyen</w:t>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Complément retraite à 8 ans</w:t>
            </w:r>
          </w:p>
        </w:tc>
        <w:tc>
          <w:tcPr>
            <w:shd w:fill="EEF2F7" w:val="clear"/>
          </w:tcPr>
          <w:p>
            <w:r>
              <w:rPr>
                <w:rFonts w:ascii="Times New Roman" w:cs="Times New Roman" w:eastAsia="Times New Roman" w:hAnsi="Times New Roman"/>
                <w:color w:val="1F2937"/>
                <w:sz w:val="20"/>
                <w:szCs w:val="20"/>
              </w:rPr>
              <w:t xml:space="preserve">Moyen terme</w:t>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Transmission patrimoniale à 15 ans+</w:t>
            </w:r>
          </w:p>
        </w:tc>
        <w:tc>
          <w:tcPr>
            <w:shd w:fill="FFFFFF" w:val="clear"/>
          </w:tcPr>
          <w:p>
            <w:r>
              <w:rPr>
                <w:rFonts w:ascii="Times New Roman" w:cs="Times New Roman" w:eastAsia="Times New Roman" w:hAnsi="Times New Roman"/>
                <w:color w:val="1F2937"/>
                <w:sz w:val="20"/>
                <w:szCs w:val="20"/>
              </w:rPr>
              <w:t xml:space="preserve">Long terme</w:t>
            </w:r>
          </w:p>
        </w:tc>
        <w:tc>
          <w:tcPr>
            <w:shd w:fill="FFFFFF" w:val="clear"/>
          </w:tcPr>
          <w:p>
            <w:r>
              <w:rPr>
                <w:rFonts w:ascii="Times New Roman" w:cs="Times New Roman" w:eastAsia="Times New Roman" w:hAnsi="Times New Roman"/>
                <w:color w:val="1F2937"/>
                <w:sz w:val="20"/>
                <w:szCs w:val="20"/>
              </w:rPr>
              <w:t xml:space="preserve"/>
            </w:r>
          </w:p>
        </w:tc>
      </w:tr>
    </w:tbl>
    <w:p>
      <w:r>
        <w:t xml:space="preserve"/>
      </w:r>
    </w:p>
    <w:p>
      <w:pPr>
        <w:spacing w:after="120"/>
      </w:pPr>
      <w:r>
        <w:rPr>
          <w:rFonts w:ascii="Times New Roman" w:cs="Times New Roman" w:eastAsia="Times New Roman" w:hAnsi="Times New Roman"/>
          <w:color w:val="1F2937"/>
          <w:sz w:val="22"/>
          <w:szCs w:val="22"/>
        </w:rPr>
        <w:t xml:space="preserve">Correction proposée (compare avec ta réponse) :</w:t>
      </w:r>
    </w:p>
    <w:p>
      <w:pPr>
        <w:pStyle w:val="ListParagraph"/>
        <w:numPr>
          <w:ilvl w:val="0"/>
          <w:numId w:val="1"/>
        </w:numPr>
        <w:spacing w:after="80"/>
      </w:pPr>
      <w:r>
        <w:rPr>
          <w:rFonts w:ascii="Times New Roman" w:cs="Times New Roman" w:eastAsia="Times New Roman" w:hAnsi="Times New Roman"/>
          <w:color w:val="1F2937"/>
          <w:sz w:val="22"/>
          <w:szCs w:val="22"/>
        </w:rPr>
        <w:t xml:space="preserve">Épargne de précaution → Monétaire (Livret A, LDDS) : liquidité immédiate, capital sécurisé.</w:t>
      </w:r>
    </w:p>
    <w:p>
      <w:pPr>
        <w:pStyle w:val="ListParagraph"/>
        <w:numPr>
          <w:ilvl w:val="0"/>
          <w:numId w:val="1"/>
        </w:numPr>
        <w:spacing w:after="80"/>
      </w:pPr>
      <w:r>
        <w:rPr>
          <w:rFonts w:ascii="Times New Roman" w:cs="Times New Roman" w:eastAsia="Times New Roman" w:hAnsi="Times New Roman"/>
          <w:color w:val="1F2937"/>
          <w:sz w:val="22"/>
          <w:szCs w:val="22"/>
        </w:rPr>
        <w:t xml:space="preserve">Projet voiture dans 3 ans → Monétaire / Obligations courtes : horizon trop court pour l'immobilier ou les actions.</w:t>
      </w:r>
    </w:p>
    <w:p>
      <w:pPr>
        <w:pStyle w:val="ListParagraph"/>
        <w:numPr>
          <w:ilvl w:val="0"/>
          <w:numId w:val="1"/>
        </w:numPr>
        <w:spacing w:after="80"/>
      </w:pPr>
      <w:r>
        <w:rPr>
          <w:rFonts w:ascii="Times New Roman" w:cs="Times New Roman" w:eastAsia="Times New Roman" w:hAnsi="Times New Roman"/>
          <w:color w:val="1F2937"/>
          <w:sz w:val="22"/>
          <w:szCs w:val="22"/>
        </w:rPr>
        <w:t xml:space="preserve">Complément retraite à 8 ans → Mix obligataire + actions + éventuellement SCPI : horizon suffisant, mais sécurisation progressive recommandée à l'approche de l'échéance (L15).</w:t>
      </w:r>
    </w:p>
    <w:p>
      <w:pPr>
        <w:pStyle w:val="ListParagraph"/>
        <w:numPr>
          <w:ilvl w:val="0"/>
          <w:numId w:val="1"/>
        </w:numPr>
        <w:spacing w:after="80"/>
      </w:pPr>
      <w:r>
        <w:rPr>
          <w:rFonts w:ascii="Times New Roman" w:cs="Times New Roman" w:eastAsia="Times New Roman" w:hAnsi="Times New Roman"/>
          <w:color w:val="1F2937"/>
          <w:sz w:val="22"/>
          <w:szCs w:val="22"/>
        </w:rPr>
        <w:t xml:space="preserve">Transmission à 15 ans+ → Davantage d'actions possibles : horizon long qui permet d'absorber la volatilité.</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Comprendre l'impact du risque de taux sur les obligations</w:t>
      </w:r>
    </w:p>
    <w:p>
      <w:pPr>
        <w:spacing w:after="120"/>
      </w:pPr>
      <w:r>
        <w:rPr>
          <w:rFonts w:ascii="Times New Roman" w:cs="Times New Roman" w:eastAsia="Times New Roman" w:hAnsi="Times New Roman"/>
          <w:color w:val="1F2937"/>
          <w:sz w:val="22"/>
          <w:szCs w:val="22"/>
        </w:rPr>
        <w:t xml:space="preserve">Scénario : tu détiens une obligation d'État à 3 % sur 10 ans, achetée en 2024. En 2026, la Banque Centrale Européenne relève ses taux directeurs à 4 %.</w:t>
      </w:r>
    </w:p>
    <w:p>
      <w:r>
        <w:t xml:space="preserve"/>
      </w:r>
    </w:p>
    <w:p>
      <w:pPr>
        <w:spacing w:after="120"/>
      </w:pPr>
      <w:r>
        <w:rPr>
          <w:rFonts w:ascii="Times New Roman" w:cs="Times New Roman" w:eastAsia="Times New Roman" w:hAnsi="Times New Roman"/>
          <w:color w:val="1F2937"/>
          <w:sz w:val="22"/>
          <w:szCs w:val="22"/>
        </w:rPr>
        <w:t xml:space="preserve">Réponds aux 3 questions suivantes :</w:t>
      </w:r>
    </w:p>
    <w:p>
      <w:pPr>
        <w:pStyle w:val="ListParagraph"/>
        <w:numPr>
          <w:ilvl w:val="0"/>
          <w:numId w:val="1"/>
        </w:numPr>
        <w:spacing w:after="80"/>
      </w:pPr>
      <w:r>
        <w:rPr>
          <w:rFonts w:ascii="Times New Roman" w:cs="Times New Roman" w:eastAsia="Times New Roman" w:hAnsi="Times New Roman"/>
          <w:color w:val="1F2937"/>
          <w:sz w:val="22"/>
          <w:szCs w:val="22"/>
        </w:rPr>
        <w:t xml:space="preserve">Q1 : Comment évolue la valeur de marché de ton obligation sur le marché secondaire (hausse / baisse / stable) ?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Q2 : Si tu attends l'échéance en 2034, es-tu affecté par cette baisse de valeur de marché ?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Q3 : Quel est le nom du risque que tu viens d'identifier ?</w:t>
      </w:r>
    </w:p>
    <w:p>
      <w:r>
        <w:t xml:space="preserve"/>
      </w:r>
    </w:p>
    <w:p>
      <w:pPr>
        <w:spacing w:after="120"/>
      </w:pPr>
      <w:r>
        <w:rPr>
          <w:rFonts w:ascii="Times New Roman" w:cs="Times New Roman" w:eastAsia="Times New Roman" w:hAnsi="Times New Roman"/>
          <w:color w:val="1F2937"/>
          <w:sz w:val="22"/>
          <w:szCs w:val="22"/>
        </w:rPr>
        <w:t xml:space="preserve">Éléments de correction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R1 : La valeur de marché BAISSE. De nouvelles obligations offrent 4 % : les anciennes à 3 % sont moins attractives, leur prix s'ajuste à la baisse pour offrir un rendement équivalent.</w:t>
      </w:r>
    </w:p>
    <w:p>
      <w:pPr>
        <w:pStyle w:val="ListParagraph"/>
        <w:numPr>
          <w:ilvl w:val="0"/>
          <w:numId w:val="1"/>
        </w:numPr>
        <w:spacing w:after="80"/>
      </w:pPr>
      <w:r>
        <w:rPr>
          <w:rFonts w:ascii="Times New Roman" w:cs="Times New Roman" w:eastAsia="Times New Roman" w:hAnsi="Times New Roman"/>
          <w:color w:val="1F2937"/>
          <w:sz w:val="22"/>
          <w:szCs w:val="22"/>
        </w:rPr>
        <w:t xml:space="preserve">R2 : Non, si tu attends l'échéance. Tu percevras ton coupon de 3 % chaque année et ton capital à l'échéance, conformément au contrat initial. La variation intermédiaire n'affecte pas le flux.</w:t>
      </w:r>
    </w:p>
    <w:p>
      <w:pPr>
        <w:pStyle w:val="ListParagraph"/>
        <w:numPr>
          <w:ilvl w:val="0"/>
          <w:numId w:val="1"/>
        </w:numPr>
        <w:spacing w:after="80"/>
      </w:pPr>
      <w:r>
        <w:rPr>
          <w:rFonts w:ascii="Times New Roman" w:cs="Times New Roman" w:eastAsia="Times New Roman" w:hAnsi="Times New Roman"/>
          <w:color w:val="1F2937"/>
          <w:sz w:val="22"/>
          <w:szCs w:val="22"/>
        </w:rPr>
        <w:t xml:space="preserve">R3 : Risque de taux (ou risque de sensibilité). C'est l'un des deux risques principaux des obligations avec le risque de crédit.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La volatilité des actions sur différentes périodes</w:t>
      </w:r>
    </w:p>
    <w:p>
      <w:pPr>
        <w:spacing w:after="120"/>
      </w:pPr>
      <w:r>
        <w:rPr>
          <w:rFonts w:ascii="Times New Roman" w:cs="Times New Roman" w:eastAsia="Times New Roman" w:hAnsi="Times New Roman"/>
          <w:color w:val="1F2937"/>
          <w:sz w:val="22"/>
          <w:szCs w:val="22"/>
        </w:rPr>
        <w:t xml:space="preserve">Voici des données historiques indicatives sur un indice large diversifié (type MSCI World) — données à titre pédagogique uniquement, non contractuelles :</w:t>
      </w:r>
    </w:p>
    <w:p>
      <w:pPr>
        <w:pStyle w:val="ListParagraph"/>
        <w:numPr>
          <w:ilvl w:val="0"/>
          <w:numId w:val="1"/>
        </w:numPr>
        <w:spacing w:after="80"/>
      </w:pPr>
      <w:r>
        <w:rPr>
          <w:rFonts w:ascii="Times New Roman" w:cs="Times New Roman" w:eastAsia="Times New Roman" w:hAnsi="Times New Roman"/>
          <w:color w:val="1F2937"/>
          <w:sz w:val="22"/>
          <w:szCs w:val="22"/>
        </w:rPr>
        <w:t xml:space="preserve">Meilleure année : +40 % environ (2019)</w:t>
      </w:r>
    </w:p>
    <w:p>
      <w:pPr>
        <w:pStyle w:val="ListParagraph"/>
        <w:numPr>
          <w:ilvl w:val="0"/>
          <w:numId w:val="1"/>
        </w:numPr>
        <w:spacing w:after="80"/>
      </w:pPr>
      <w:r>
        <w:rPr>
          <w:rFonts w:ascii="Times New Roman" w:cs="Times New Roman" w:eastAsia="Times New Roman" w:hAnsi="Times New Roman"/>
          <w:color w:val="1F2937"/>
          <w:sz w:val="22"/>
          <w:szCs w:val="22"/>
        </w:rPr>
        <w:t xml:space="preserve">Pire année : −40 % environ (2008)</w:t>
      </w:r>
    </w:p>
    <w:p>
      <w:pPr>
        <w:pStyle w:val="ListParagraph"/>
        <w:numPr>
          <w:ilvl w:val="0"/>
          <w:numId w:val="1"/>
        </w:numPr>
        <w:spacing w:after="80"/>
      </w:pPr>
      <w:r>
        <w:rPr>
          <w:rFonts w:ascii="Times New Roman" w:cs="Times New Roman" w:eastAsia="Times New Roman" w:hAnsi="Times New Roman"/>
          <w:color w:val="1F2937"/>
          <w:sz w:val="22"/>
          <w:szCs w:val="22"/>
        </w:rPr>
        <w:t xml:space="preserve">Rendement annualisé moyen sur 30 ans : ~7–8 % (avant inflation et frais)</w:t>
      </w:r>
    </w:p>
    <w:p>
      <w:r>
        <w:t xml:space="preserve"/>
      </w:r>
    </w:p>
    <w:p>
      <w:pPr>
        <w:spacing w:after="120"/>
      </w:pPr>
      <w:r>
        <w:rPr>
          <w:rFonts w:ascii="Times New Roman" w:cs="Times New Roman" w:eastAsia="Times New Roman" w:hAnsi="Times New Roman"/>
          <w:color w:val="1F2937"/>
          <w:sz w:val="22"/>
          <w:szCs w:val="22"/>
        </w:rPr>
        <w:t xml:space="preserve">Analyse les implications suivantes :</w:t>
      </w:r>
    </w:p>
    <w:p>
      <w:pPr>
        <w:pStyle w:val="ListParagraph"/>
        <w:numPr>
          <w:ilvl w:val="0"/>
          <w:numId w:val="1"/>
        </w:numPr>
        <w:spacing w:after="80"/>
      </w:pPr>
      <w:r>
        <w:rPr>
          <w:rFonts w:ascii="Times New Roman" w:cs="Times New Roman" w:eastAsia="Times New Roman" w:hAnsi="Times New Roman"/>
          <w:color w:val="1F2937"/>
          <w:sz w:val="22"/>
          <w:szCs w:val="22"/>
        </w:rPr>
        <w:t xml:space="preserve">Si tu avais investi 10 000 € en actions en janvier 2008, qu'aurait valu ton portefeuille en décembre 2008 (approximation à −40 %) ?</w:t>
      </w:r>
    </w:p>
    <w:p>
      <w:pPr>
        <w:pStyle w:val="ListParagraph"/>
        <w:numPr>
          <w:ilvl w:val="0"/>
          <w:numId w:val="1"/>
        </w:numPr>
        <w:spacing w:after="80"/>
      </w:pPr>
      <w:r>
        <w:rPr>
          <w:rFonts w:ascii="Times New Roman" w:cs="Times New Roman" w:eastAsia="Times New Roman" w:hAnsi="Times New Roman"/>
          <w:color w:val="1F2937"/>
          <w:sz w:val="22"/>
          <w:szCs w:val="22"/>
        </w:rPr>
        <w:t xml:space="preserve">Si tu avais maintenu ce placement jusqu'en 2023 (15 ans), et que le rendement annualisé sur la période avait été de 6 % (hypothèse fictive pédagogique), quelle aurait été la valeur approximative du capital retrouvé ? (utilise la formule C × (1+r)^n)</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 leçon tires-tu sur l'importance du rapport entre horizon de placement et classe d'actifs actions ?</w:t>
      </w:r>
    </w:p>
    <w:p>
      <w:r>
        <w:t xml:space="preserve"/>
      </w:r>
    </w:p>
    <w:p>
      <w:pPr>
        <w:spacing w:after="120"/>
      </w:pPr>
      <w:r>
        <w:rPr>
          <w:rFonts w:ascii="Times New Roman" w:cs="Times New Roman" w:eastAsia="Times New Roman" w:hAnsi="Times New Roman"/>
          <w:color w:val="1F2937"/>
          <w:sz w:val="22"/>
          <w:szCs w:val="22"/>
        </w:rPr>
        <w:t xml:space="preserve">Calculs guidés :</w:t>
      </w:r>
    </w:p>
    <w:p>
      <w:pPr>
        <w:pStyle w:val="ListParagraph"/>
        <w:numPr>
          <w:ilvl w:val="0"/>
          <w:numId w:val="1"/>
        </w:numPr>
        <w:spacing w:after="80"/>
      </w:pPr>
      <w:r>
        <w:rPr>
          <w:rFonts w:ascii="Times New Roman" w:cs="Times New Roman" w:eastAsia="Times New Roman" w:hAnsi="Times New Roman"/>
          <w:color w:val="1F2937"/>
          <w:sz w:val="22"/>
          <w:szCs w:val="22"/>
        </w:rPr>
        <w:t xml:space="preserve">2008 → 10 000 × (1 − 0,40) = 6 000 € (choc de court terme).</w:t>
      </w:r>
    </w:p>
    <w:p>
      <w:pPr>
        <w:pStyle w:val="ListParagraph"/>
        <w:numPr>
          <w:ilvl w:val="0"/>
          <w:numId w:val="1"/>
        </w:numPr>
        <w:spacing w:after="80"/>
      </w:pPr>
      <w:r>
        <w:rPr>
          <w:rFonts w:ascii="Times New Roman" w:cs="Times New Roman" w:eastAsia="Times New Roman" w:hAnsi="Times New Roman"/>
          <w:color w:val="1F2937"/>
          <w:sz w:val="22"/>
          <w:szCs w:val="22"/>
        </w:rPr>
        <w:t xml:space="preserve">6 000 × (1,06)^15 = 6 000 × 2,397 ≈ 14 380 € (hypothèse fictive pédagogique — non contractuelle). La perte de 2008 est absorbée sur 15 ans, avec croissance positive.</w:t>
      </w:r>
    </w:p>
    <w:p>
      <w:pPr>
        <w:pStyle w:val="ListParagraph"/>
        <w:numPr>
          <w:ilvl w:val="0"/>
          <w:numId w:val="1"/>
        </w:numPr>
        <w:spacing w:after="80"/>
      </w:pPr>
      <w:r>
        <w:rPr>
          <w:rFonts w:ascii="Times New Roman" w:cs="Times New Roman" w:eastAsia="Times New Roman" w:hAnsi="Times New Roman"/>
          <w:color w:val="1F2937"/>
          <w:sz w:val="22"/>
          <w:szCs w:val="22"/>
        </w:rPr>
        <w:t xml:space="preserve">Leçon : sur un horizon court, les actions exposent à une perte majeure non récupérable. Sur un horizon long (15 ans), la volatilité est amortie par l'effet temps. C'est pourquoi l'horizon est LE critère premier.</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Challenge — Synthèse des classes d'actifs</w:t>
      </w:r>
    </w:p>
    <w:p>
      <w:pPr>
        <w:spacing w:after="120"/>
      </w:pPr>
      <w:r>
        <w:rPr>
          <w:rFonts w:ascii="Times New Roman" w:cs="Times New Roman" w:eastAsia="Times New Roman" w:hAnsi="Times New Roman"/>
          <w:color w:val="1F2937"/>
          <w:sz w:val="22"/>
          <w:szCs w:val="22"/>
        </w:rPr>
        <w:t xml:space="preserve">Situation fictive à analyser (exercice de réflexion, pas de conseil) :</w:t>
      </w:r>
    </w:p>
    <w:p>
      <w:pPr>
        <w:shd w:fill="EEF2F7" w:val="clear"/>
        <w:spacing w:after="120" w:before="120"/>
        <w:ind w:left="360" w:right="360"/>
      </w:pPr>
      <w:r>
        <w:rPr>
          <w:rFonts w:ascii="Times New Roman" w:cs="Times New Roman" w:eastAsia="Times New Roman" w:hAnsi="Times New Roman"/>
          <w:color w:val="1F2937"/>
          <w:sz w:val="22"/>
          <w:szCs w:val="22"/>
        </w:rPr>
        <w:t xml:space="preserve">Imagine deux personnes : Anne (32 ans, horizon 25 ans) et Bernard (61 ans, horizon 7–8 ans). Ils ont chacun 50 000 € à placer. Ils envisagent tous les deux de mettre 100 % en actions. Analyse, pour chacun, les risques et la cohérence de cette approche selon ce que tu as appris sur les classes d'actifs et les horizons.</w:t>
      </w:r>
    </w:p>
    <w:p>
      <w:r>
        <w:t xml:space="preserve"/>
      </w:r>
    </w:p>
    <w:p>
      <w:pPr>
        <w:spacing w:after="120"/>
      </w:pPr>
      <w:r>
        <w:rPr>
          <w:rFonts w:ascii="Times New Roman" w:cs="Times New Roman" w:eastAsia="Times New Roman" w:hAnsi="Times New Roman"/>
          <w:color w:val="1F2937"/>
          <w:sz w:val="22"/>
          <w:szCs w:val="22"/>
        </w:rPr>
        <w:t xml:space="preserve">Points attendus dans ta réflexion :</w:t>
      </w:r>
    </w:p>
    <w:p>
      <w:pPr>
        <w:pStyle w:val="ListParagraph"/>
        <w:numPr>
          <w:ilvl w:val="0"/>
          <w:numId w:val="1"/>
        </w:numPr>
        <w:spacing w:after="80"/>
      </w:pPr>
      <w:r>
        <w:rPr>
          <w:rFonts w:ascii="Times New Roman" w:cs="Times New Roman" w:eastAsia="Times New Roman" w:hAnsi="Times New Roman"/>
          <w:color w:val="1F2937"/>
          <w:sz w:val="22"/>
          <w:szCs w:val="22"/>
        </w:rPr>
        <w:t xml:space="preserve">Anne (horizon 25 ans) : l'horizon long lui permet d'absorber la volatilité des actions. En cas de choc (−40 %), elle a 25 ans pour récupérer. Un portefeuille majoritairement actions peut être cohérent avec son profil ET son horizon. Elle devra néanmoins diversifier (ne pas mettre sur une seule action/marché — cf. L2).</w:t>
      </w:r>
    </w:p>
    <w:p>
      <w:pPr>
        <w:pStyle w:val="ListParagraph"/>
        <w:numPr>
          <w:ilvl w:val="0"/>
          <w:numId w:val="1"/>
        </w:numPr>
        <w:spacing w:after="80"/>
      </w:pPr>
      <w:r>
        <w:rPr>
          <w:rFonts w:ascii="Times New Roman" w:cs="Times New Roman" w:eastAsia="Times New Roman" w:hAnsi="Times New Roman"/>
          <w:color w:val="1F2937"/>
          <w:sz w:val="22"/>
          <w:szCs w:val="22"/>
        </w:rPr>
        <w:t xml:space="preserve">Bernard (horizon 7–8 ans) : le risque est plus élevé. Une perte de 40 % en début de période laisserait peu de temps pour récupérer. L'approche 100 % actions est potentiellement inadaptée à l'horizon. Une diversification entre classes (obligations, monétaire, et une part d'actions avec sécurisation progressive à l'approche de l'échéance) mérite d'être envisagée avec un conseiller agréé. RAPPEL : toute décision concrète relève d'un CGP/CIF agréé.</w:t>
      </w:r>
    </w:p>
    <w:p>
      <w:pPr>
        <w:pStyle w:val="ListParagraph"/>
        <w:numPr>
          <w:ilvl w:val="0"/>
          <w:numId w:val="1"/>
        </w:numPr>
        <w:spacing w:after="80"/>
      </w:pPr>
      <w:r>
        <w:rPr>
          <w:rFonts w:ascii="Times New Roman" w:cs="Times New Roman" w:eastAsia="Times New Roman" w:hAnsi="Times New Roman"/>
          <w:color w:val="1F2937"/>
          <w:sz w:val="22"/>
          <w:szCs w:val="22"/>
        </w:rPr>
        <w:t xml:space="preserve">Conclusion générale : l'horizon est le filtre premier. Bernard et Anne ne devraient pas avoir la même structure de portefeuille, même avec le même montant.</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En tant que chef de service dans un ESSMS, tu gères des budgets contraints et tu planifies à horizon CPOM (5 ans). Comme en placement financier, tu dois mobiliser les « bons actifs » selon l'horizon :</w:t>
      </w:r>
    </w:p>
    <w:p>
      <w:pPr>
        <w:pStyle w:val="ListParagraph"/>
        <w:numPr>
          <w:ilvl w:val="0"/>
          <w:numId w:val="1"/>
        </w:numPr>
        <w:spacing w:after="80"/>
      </w:pPr>
      <w:r>
        <w:rPr>
          <w:rFonts w:ascii="Times New Roman" w:cs="Times New Roman" w:eastAsia="Times New Roman" w:hAnsi="Times New Roman"/>
          <w:color w:val="1F2937"/>
          <w:sz w:val="22"/>
          <w:szCs w:val="22"/>
        </w:rPr>
        <w:t xml:space="preserve">Court terme → réserves de trésorerie (monétaire) : fonds disponibles pour imprévus RH ou maintenance urgente.</w:t>
      </w:r>
    </w:p>
    <w:p>
      <w:pPr>
        <w:pStyle w:val="ListParagraph"/>
        <w:numPr>
          <w:ilvl w:val="0"/>
          <w:numId w:val="1"/>
        </w:numPr>
        <w:spacing w:after="80"/>
      </w:pPr>
      <w:r>
        <w:rPr>
          <w:rFonts w:ascii="Times New Roman" w:cs="Times New Roman" w:eastAsia="Times New Roman" w:hAnsi="Times New Roman"/>
          <w:color w:val="1F2937"/>
          <w:sz w:val="22"/>
          <w:szCs w:val="22"/>
        </w:rPr>
        <w:t xml:space="preserve">Moyen terme → investissements structurels planifiés (travaux accessibilité, équipements) : équivalent des obligations — engagement sur plusieurs années.</w:t>
      </w:r>
    </w:p>
    <w:p>
      <w:pPr>
        <w:pStyle w:val="ListParagraph"/>
        <w:numPr>
          <w:ilvl w:val="0"/>
          <w:numId w:val="1"/>
        </w:numPr>
        <w:spacing w:after="80"/>
      </w:pPr>
      <w:r>
        <w:rPr>
          <w:rFonts w:ascii="Times New Roman" w:cs="Times New Roman" w:eastAsia="Times New Roman" w:hAnsi="Times New Roman"/>
          <w:color w:val="1F2937"/>
          <w:sz w:val="22"/>
          <w:szCs w:val="22"/>
        </w:rPr>
        <w:t xml:space="preserve">Long terme → projets de développement stratégique (ouverture d'une nouvelle unité, reconversion) : équivalent des actions — potentiel élevé, risque à gérer.</w:t>
      </w:r>
    </w:p>
    <w:p>
      <w:pPr>
        <w:spacing w:after="120"/>
      </w:pPr>
      <w:r>
        <w:rPr>
          <w:rFonts w:ascii="Times New Roman" w:cs="Times New Roman" w:eastAsia="Times New Roman" w:hAnsi="Times New Roman"/>
          <w:color w:val="1F2937"/>
          <w:sz w:val="22"/>
          <w:szCs w:val="22"/>
        </w:rPr>
        <w:t xml:space="preserve">La logique « adapter l'outil à l'horizon » est universelle, que tu gères un budget ESSMS ou un patrimoine personnel.</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pStyle w:val="ListParagraph"/>
        <w:numPr>
          <w:ilvl w:val="0"/>
          <w:numId w:val="1"/>
        </w:numPr>
        <w:spacing w:after="80"/>
      </w:pPr>
      <w:hyperlink w:history="1" r:id="rIdhmjx_wbtzwz42s70kqzci">
        <w:r>
          <w:rPr>
            <w:rFonts w:ascii="Times New Roman" w:cs="Times New Roman" w:eastAsia="Times New Roman" w:hAnsi="Times New Roman"/>
            <w:color w:val="1155CC"/>
            <w:sz w:val="22"/>
            <w:szCs w:val="22"/>
            <w:u w:val="single"/>
          </w:rPr>
          <w:t xml:space="preserve">La Finance pour Tous — Actions (définition, risques, conseils)</w:t>
        </w:r>
      </w:hyperlink>
    </w:p>
    <w:p>
      <w:pPr>
        <w:pStyle w:val="ListParagraph"/>
        <w:numPr>
          <w:ilvl w:val="0"/>
          <w:numId w:val="1"/>
        </w:numPr>
        <w:spacing w:after="80"/>
      </w:pPr>
      <w:hyperlink w:history="1" r:id="rIdeflj4ytp1o5oaoqso4fjr">
        <w:r>
          <w:rPr>
            <w:rFonts w:ascii="Times New Roman" w:cs="Times New Roman" w:eastAsia="Times New Roman" w:hAnsi="Times New Roman"/>
            <w:color w:val="1155CC"/>
            <w:sz w:val="22"/>
            <w:szCs w:val="22"/>
            <w:u w:val="single"/>
          </w:rPr>
          <w:t xml:space="preserve">La Finance pour Tous — Qu'est-ce qu'une obligation ?</w:t>
        </w:r>
      </w:hyperlink>
    </w:p>
    <w:p>
      <w:pPr>
        <w:pStyle w:val="ListParagraph"/>
        <w:numPr>
          <w:ilvl w:val="0"/>
          <w:numId w:val="1"/>
        </w:numPr>
        <w:spacing w:after="80"/>
      </w:pPr>
      <w:hyperlink w:history="1" r:id="rId5mmcmuk7i7ywxno96pmr2">
        <w:r>
          <w:rPr>
            <w:rFonts w:ascii="Times New Roman" w:cs="Times New Roman" w:eastAsia="Times New Roman" w:hAnsi="Times New Roman"/>
            <w:color w:val="1155CC"/>
            <w:sz w:val="22"/>
            <w:szCs w:val="22"/>
            <w:u w:val="single"/>
          </w:rPr>
          <w:t xml:space="preserve">La Finance pour Tous — Obligations : est-ce un produit pour moi ?</w:t>
        </w:r>
      </w:hyperlink>
    </w:p>
    <w:p>
      <w:pPr>
        <w:pStyle w:val="ListParagraph"/>
        <w:numPr>
          <w:ilvl w:val="0"/>
          <w:numId w:val="1"/>
        </w:numPr>
        <w:spacing w:after="80"/>
      </w:pPr>
      <w:hyperlink w:history="1" r:id="rIdkvjlt8lcbescafngykcd9">
        <w:r>
          <w:rPr>
            <w:rFonts w:ascii="Times New Roman" w:cs="Times New Roman" w:eastAsia="Times New Roman" w:hAnsi="Times New Roman"/>
            <w:color w:val="1155CC"/>
            <w:sz w:val="22"/>
            <w:szCs w:val="22"/>
            <w:u w:val="single"/>
          </w:rPr>
          <w:t xml:space="preserve">La Finance pour Tous — Classes d'actifs (dictionnaire)</w:t>
        </w:r>
      </w:hyperlink>
    </w:p>
    <w:p>
      <w:pPr>
        <w:pStyle w:val="ListParagraph"/>
        <w:numPr>
          <w:ilvl w:val="0"/>
          <w:numId w:val="1"/>
        </w:numPr>
        <w:spacing w:after="80"/>
      </w:pPr>
      <w:hyperlink w:history="1" r:id="rId05fapouwntvyczm--xgnj">
        <w:r>
          <w:rPr>
            <w:rFonts w:ascii="Times New Roman" w:cs="Times New Roman" w:eastAsia="Times New Roman" w:hAnsi="Times New Roman"/>
            <w:color w:val="1155CC"/>
            <w:sz w:val="22"/>
            <w:szCs w:val="22"/>
            <w:u w:val="single"/>
          </w:rPr>
          <w:t xml:space="preserve">La Finance pour Tous — Livrets réglementés (en bref)</w:t>
        </w:r>
      </w:hyperlink>
    </w:p>
    <w:p>
      <w:pPr>
        <w:pStyle w:val="ListParagraph"/>
        <w:numPr>
          <w:ilvl w:val="0"/>
          <w:numId w:val="1"/>
        </w:numPr>
        <w:spacing w:after="80"/>
      </w:pPr>
      <w:hyperlink w:history="1" r:id="rIdvsz5bmaqek3toa9wxpvof">
        <w:r>
          <w:rPr>
            <w:rFonts w:ascii="Times New Roman" w:cs="Times New Roman" w:eastAsia="Times New Roman" w:hAnsi="Times New Roman"/>
            <w:color w:val="1155CC"/>
            <w:sz w:val="22"/>
            <w:szCs w:val="22"/>
            <w:u w:val="single"/>
          </w:rPr>
          <w:t xml:space="preserve">La Finance pour Tous — OPC (fonds : monétaires, obligataires, actions)</w:t>
        </w:r>
      </w:hyperlink>
    </w:p>
    <w:p>
      <w:pPr>
        <w:pStyle w:val="ListParagraph"/>
        <w:numPr>
          <w:ilvl w:val="0"/>
          <w:numId w:val="1"/>
        </w:numPr>
        <w:spacing w:after="80"/>
      </w:pPr>
      <w:hyperlink w:history="1" r:id="rId8hgdqad4vs5akgy1jtizb">
        <w:r>
          <w:rPr>
            <w:rFonts w:ascii="Times New Roman" w:cs="Times New Roman" w:eastAsia="Times New Roman" w:hAnsi="Times New Roman"/>
            <w:color w:val="1155CC"/>
            <w:sz w:val="22"/>
            <w:szCs w:val="22"/>
            <w:u w:val="single"/>
          </w:rPr>
          <w:t xml:space="preserve">AMF — Espace épargnants (alertes et guides officiels)</w:t>
        </w:r>
      </w:hyperlink>
    </w:p>
    <w:p>
      <w:pPr>
        <w:spacing w:after="120"/>
      </w:pPr>
      <w:r>
        <w:rPr>
          <w:rFonts w:ascii="Times New Roman" w:cs="Times New Roman" w:eastAsia="Times New Roman" w:hAnsi="Times New Roman"/>
          <w:color w:val="1F2937"/>
          <w:sz w:val="22"/>
          <w:szCs w:val="22"/>
        </w:rPr>
        <w:t xml:space="preserve">⛔ Sources inaccessibles en mode headless ce jour : AMF comprendre-les-produits-financiers (404), ABE Info Service (403), economie.gouv.fr/placements-obligation (403). Contenu assuré par les sources disponibles ci-dessus.</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Pour aller plus loin avec un professionnel agréé</w:t>
      </w:r>
    </w:p>
    <w:p>
      <w:pPr>
        <w:spacing w:after="120"/>
      </w:pPr>
      <w:r>
        <w:rPr>
          <w:rFonts w:ascii="Times New Roman" w:cs="Times New Roman" w:eastAsia="Times New Roman" w:hAnsi="Times New Roman"/>
          <w:color w:val="1F2937"/>
          <w:sz w:val="22"/>
          <w:szCs w:val="22"/>
        </w:rPr>
        <w:t xml:space="preserve">Questions concrètes à poser à un CGP ou CIF agréé par l'AMF lors de ton prochain rendez-vous :</w:t>
      </w:r>
    </w:p>
    <w:p>
      <w:pPr>
        <w:pStyle w:val="ListParagraph"/>
        <w:numPr>
          <w:ilvl w:val="0"/>
          <w:numId w:val="1"/>
        </w:numPr>
        <w:spacing w:after="80"/>
      </w:pPr>
      <w:r>
        <w:rPr>
          <w:rFonts w:ascii="Times New Roman" w:cs="Times New Roman" w:eastAsia="Times New Roman" w:hAnsi="Times New Roman"/>
          <w:color w:val="1F2937"/>
          <w:sz w:val="22"/>
          <w:szCs w:val="22"/>
        </w:rPr>
        <w:t xml:space="preserve">« Sur mon horizon de 7–8 ans, quelle répartition entre classes d'actifs recommandez-vous, et comment envisagez-vous la sécurisation progressive à l'approche de l'échéance ? »</w:t>
      </w:r>
    </w:p>
    <w:p>
      <w:pPr>
        <w:pStyle w:val="ListParagraph"/>
        <w:numPr>
          <w:ilvl w:val="0"/>
          <w:numId w:val="1"/>
        </w:numPr>
        <w:spacing w:after="80"/>
      </w:pPr>
      <w:r>
        <w:rPr>
          <w:rFonts w:ascii="Times New Roman" w:cs="Times New Roman" w:eastAsia="Times New Roman" w:hAnsi="Times New Roman"/>
          <w:color w:val="1F2937"/>
          <w:sz w:val="22"/>
          <w:szCs w:val="22"/>
        </w:rPr>
        <w:t xml:space="preserve">« Quelle part d'immobilier (SCPI notamment) serait cohérente avec mon horizon, compte tenu des frais d'entrée et de la liquidité limitée de ce type de placement ? »</w:t>
      </w:r>
    </w:p>
    <w:p>
      <w:pPr>
        <w:pStyle w:val="ListParagraph"/>
        <w:numPr>
          <w:ilvl w:val="0"/>
          <w:numId w:val="1"/>
        </w:numPr>
        <w:spacing w:after="80"/>
      </w:pPr>
      <w:r>
        <w:rPr>
          <w:rFonts w:ascii="Times New Roman" w:cs="Times New Roman" w:eastAsia="Times New Roman" w:hAnsi="Times New Roman"/>
          <w:color w:val="1F2937"/>
          <w:sz w:val="22"/>
          <w:szCs w:val="22"/>
        </w:rPr>
        <w:t xml:space="preserve">« Pour la part obligataire, préconisez-vous des obligations directes, des fonds obligataires ou des fonds euros en assurance-vie ? Quels sont les avantages et inconvénients de chaque approche dans mon cas ? »</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Prochaine leçon — L4</w:t>
      </w:r>
    </w:p>
    <w:p>
      <w:pPr>
        <w:spacing w:after="120"/>
      </w:pPr>
      <w:r>
        <w:rPr>
          <w:rFonts w:ascii="Times New Roman" w:cs="Times New Roman" w:eastAsia="Times New Roman" w:hAnsi="Times New Roman"/>
          <w:color w:val="1F2937"/>
          <w:sz w:val="22"/>
          <w:szCs w:val="22"/>
        </w:rPr>
        <w:t xml:space="preserve">Thème : Intérêts composés, inflation et rendement réel</w:t>
      </w:r>
    </w:p>
    <w:p>
      <w:pPr>
        <w:spacing w:after="120"/>
      </w:pPr>
      <w:r>
        <w:rPr>
          <w:rFonts w:ascii="Times New Roman" w:cs="Times New Roman" w:eastAsia="Times New Roman" w:hAnsi="Times New Roman"/>
          <w:color w:val="1F2937"/>
          <w:sz w:val="22"/>
          <w:szCs w:val="22"/>
        </w:rPr>
        <w:t xml:space="preserve">Tu apprendras à calculer l'effet du temps sur la valorisation d'un capital (règle des 72, formule des intérêts composés), à mesurer l'érosion monétaire liée à l'inflation, et à distinguer le rendement nominal du rendement réel. La L4 donnera du sens aux chiffres de rendement abordés dans cette leçon.</w:t>
      </w:r>
      <w:r>
        <w:rPr>
          <w:rFonts w:ascii="Times New Roman" w:cs="Times New Roman" w:eastAsia="Times New Roman" w:hAnsi="Times New Roman"/>
          <w:i/>
          <w:iCs/>
          <w:color w:val="6B7280"/>
          <w:sz w:val="20"/>
          <w:szCs w:val="20"/>
        </w:rPr>
        <w:t xml:space="preserve"> Thèmes annoncés : intérêts composés, règle des 72, inflation, érosion monétaire, rendement nominal, rendement réel.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r>
        <w:t xml:space="preserve"/>
      </w:r>
    </w:p>
    <w:p>
      <w:pPr>
        <w:spacing w:before="300"/>
        <w:jc w:val="center"/>
      </w:pPr>
      <w:r>
        <w:rPr>
          <w:rFonts w:ascii="Times New Roman" w:cs="Times New Roman" w:eastAsia="Times New Roman" w:hAnsi="Times New Roman"/>
          <w:i/>
          <w:iCs/>
          <w:color w:val="9CA3AF"/>
          <w:sz w:val="16"/>
          <w:szCs w:val="16"/>
        </w:rPr>
        <w:t xml:space="preserve">Parcours Placement financier — Leçon 3/16 — Usage personnel uniquement — Ne constitue pas un conseil en investissement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jx_wbtzwz42s70kqzci" Type="http://schemas.openxmlformats.org/officeDocument/2006/relationships/hyperlink" Target="https://www.lafinancepourtous.com/pratique/placements/actions-3/" TargetMode="External"/><Relationship Id="rIdeflj4ytp1o5oaoqso4fjr" Type="http://schemas.openxmlformats.org/officeDocument/2006/relationships/hyperlink" Target="https://www.lafinancepourtous.com/pratique/placements/obligations/qu-est-ce-qu-une-obligation/" TargetMode="External"/><Relationship Id="rId5mmcmuk7i7ywxno96pmr2" Type="http://schemas.openxmlformats.org/officeDocument/2006/relationships/hyperlink" Target="https://www.lafinancepourtous.com/pratique/placements/obligations/est-ce-un-produit-pour-moi/" TargetMode="External"/><Relationship Id="rIdkvjlt8lcbescafngykcd9" Type="http://schemas.openxmlformats.org/officeDocument/2006/relationships/hyperlink" Target="https://www.lafinancepourtous.com/outils/dictionnaire/classes-dactifs/" TargetMode="External"/><Relationship Id="rId05fapouwntvyczm--xgnj" Type="http://schemas.openxmlformats.org/officeDocument/2006/relationships/hyperlink" Target="https://www.lafinancepourtous.com/pratique/placements/livrets-reglementes/les-livrets-depargne-reglementee-en-bref/" TargetMode="External"/><Relationship Id="rIdvsz5bmaqek3toa9wxpvof" Type="http://schemas.openxmlformats.org/officeDocument/2006/relationships/hyperlink" Target="https://www.lafinancepourtous.com/pratique/placements/produits-de-gestion-collective-opc/que-sont-les-opc/" TargetMode="External"/><Relationship Id="rId8hgdqad4vs5akgy1jtizb" Type="http://schemas.openxmlformats.org/officeDocument/2006/relationships/hyperlink" Target="https://www.amf-france.org/fr/espace-epargnant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2026-06-27T06:07:23.084Z</dcterms:created>
  <dcterms:modified xsi:type="dcterms:W3CDTF">2026-06-27T06:07:23.096Z</dcterms:modified>
</cp:coreProperties>
</file>

<file path=docProps/custom.xml><?xml version="1.0" encoding="utf-8"?>
<Properties xmlns="http://schemas.openxmlformats.org/officeDocument/2006/custom-properties" xmlns:vt="http://schemas.openxmlformats.org/officeDocument/2006/docPropsVTypes"/>
</file>