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before="200"/>
        <w:jc w:val="center"/>
      </w:pPr>
      <w:r>
        <w:rPr>
          <w:rFonts w:ascii="Times New Roman" w:cs="Times New Roman" w:eastAsia="Times New Roman" w:hAnsi="Times New Roman"/>
          <w:b/>
          <w:bCs/>
          <w:color w:val="1B3A6B"/>
          <w:sz w:val="52"/>
          <w:szCs w:val="52"/>
        </w:rPr>
        <w:t xml:space="preserve">Leçon Placement financier n°04</w:t>
      </w:r>
    </w:p>
    <w:p>
      <w:pPr>
        <w:spacing w:after="80" w:before="80"/>
        <w:jc w:val="center"/>
      </w:pPr>
      <w:r>
        <w:rPr>
          <w:rFonts w:ascii="Times New Roman" w:cs="Times New Roman" w:eastAsia="Times New Roman" w:hAnsi="Times New Roman"/>
          <w:b/>
          <w:bCs/>
          <w:color w:val="1B3A6B"/>
          <w:sz w:val="36"/>
          <w:szCs w:val="36"/>
        </w:rPr>
        <w:t xml:space="preserve">Intérêts composés, inflation et rendement réel</w:t>
      </w:r>
    </w:p>
    <w:p>
      <w:pPr>
        <w:spacing w:after="200" w:before="60"/>
        <w:jc w:val="center"/>
      </w:pPr>
      <w:r>
        <w:rPr>
          <w:rFonts w:ascii="Times New Roman" w:cs="Times New Roman" w:eastAsia="Times New Roman" w:hAnsi="Times New Roman"/>
          <w:i/>
          <w:iCs/>
          <w:color w:val="6B7280"/>
          <w:sz w:val="20"/>
          <w:szCs w:val="20"/>
        </w:rPr>
        <w:t xml:space="preserve">Date : 4 juillet 2026  |  Module Fondamental — leçon 04 / 16  |  Parcours Placement financier</w:t>
      </w:r>
    </w:p>
    <w:p>
      <w:pPr>
        <w:pBdr>
          <w:bottom w:val="single" w:color="1B3A6B" w:sz="6"/>
        </w:pBdr>
        <w:spacing w:after="120" w:before="120"/>
      </w:pPr>
      <w:r>
        <w:t xml:space="preserve"/>
      </w:r>
    </w:p>
    <w:p>
      <w:pPr>
        <w:pStyle w:val="Heading2"/>
        <w:spacing w:after="120" w:before="320"/>
      </w:pPr>
      <w:r>
        <w:rPr>
          <w:rFonts w:ascii="Times New Roman" w:cs="Times New Roman" w:eastAsia="Times New Roman" w:hAnsi="Times New Roman"/>
          <w:b/>
          <w:bCs/>
          <w:color w:val="1B3A6B"/>
          <w:sz w:val="30"/>
          <w:szCs w:val="30"/>
        </w:rPr>
        <w:t xml:space="preserve">🎯 Objectif &amp; continuité</w:t>
      </w:r>
    </w:p>
    <w:p>
      <w:pPr>
        <w:spacing w:after="80" w:before="80"/>
      </w:pPr>
      <w:r>
        <w:rPr>
          <w:rFonts w:ascii="Times New Roman" w:cs="Times New Roman" w:eastAsia="Times New Roman" w:hAnsi="Times New Roman"/>
          <w:b w:val="false"/>
          <w:bCs w:val="false"/>
          <w:i w:val="false"/>
          <w:iCs w:val="false"/>
          <w:color w:val="1F2937"/>
          <w:sz w:val="22"/>
          <w:szCs w:val="22"/>
        </w:rPr>
        <w:t xml:space="preserve">À l'issue de cette leçon, tu sauras : expliquer la différence entre intérêts simples et intérêts composés, calculer un capital futur avec la formule Cn = C₀ × (1 + r)ⁿ, estimer le temps nécessaire pour doubler un capital (règle des 72), et déterminer le rendement réel après déduction de l'inflation.</w:t>
      </w:r>
    </w:p>
    <w:p>
      <w:pPr>
        <w:spacing w:after="80" w:before="80"/>
      </w:pPr>
      <w:r>
        <w:rPr>
          <w:rFonts w:ascii="Times New Roman" w:cs="Times New Roman" w:eastAsia="Times New Roman" w:hAnsi="Times New Roman"/>
          <w:b w:val="false"/>
          <w:bCs w:val="false"/>
          <w:i w:val="false"/>
          <w:iCs w:val="false"/>
          <w:color w:val="1F2937"/>
          <w:sz w:val="22"/>
          <w:szCs w:val="22"/>
        </w:rPr>
        <w:t xml:space="preserve">Lien avec la leçon précédente (L03) : nous avons étudié les classes d'actifs (monétaire, obligations, actions, immobilier) et leur comportement selon l'horizon. Aujourd'hui, nous allons comprendre LA mécanique fondamentale qui transforme ces actifs en richesse dans le temps — et pourquoi l'inflation peut silencieusement rogner ces gains.</w:t>
      </w:r>
    </w:p>
    <w:p>
      <w:pPr>
        <w:spacing w:after="60" w:before="60"/>
      </w:pPr>
      <w:r>
        <w:t xml:space="preserve"/>
      </w:r>
    </w:p>
    <w:p>
      <w:pPr>
        <w:shd w:fill="F3F4F6" w:color="F3F4F6" w:val="solid"/>
        <w:spacing w:after="100" w:before="100"/>
        <w:ind w:left="288" w:right="288"/>
      </w:pPr>
      <w:r>
        <w:rPr>
          <w:rFonts w:ascii="Times New Roman" w:cs="Times New Roman" w:eastAsia="Times New Roman" w:hAnsi="Times New Roman"/>
          <w:b/>
          <w:bCs/>
          <w:color w:val="1F2937"/>
          <w:sz w:val="22"/>
          <w:szCs w:val="22"/>
        </w:rPr>
        <w:t xml:space="preserve">⚖️ Rappel : </w:t>
      </w:r>
      <w:r>
        <w:rPr>
          <w:rFonts w:ascii="Times New Roman" w:cs="Times New Roman" w:eastAsia="Times New Roman" w:hAnsi="Times New Roman"/>
          <w:color w:val="1F2937"/>
          <w:sz w:val="22"/>
          <w:szCs w:val="22"/>
        </w:rPr>
        <w:t xml:space="preserve">Cette leçon relève de l'éducation financière générale. Elle ne constitue en aucun cas un conseil en investissement personnalisé. Certains placements comportent un risque de perte en capital. Pour toute décision, consulte un conseiller en gestion de patrimoine (CGP) ou un conseiller en investissements financiers (CIF) agréé.</w:t>
      </w:r>
    </w:p>
    <w:p>
      <w:pPr>
        <w:spacing w:after="60" w:before="60"/>
      </w:pPr>
      <w:r>
        <w:t xml:space="preserve"/>
      </w:r>
    </w:p>
    <w:p>
      <w:pPr>
        <w:pStyle w:val="Heading2"/>
        <w:spacing w:after="120" w:before="320"/>
      </w:pPr>
      <w:r>
        <w:rPr>
          <w:rFonts w:ascii="Times New Roman" w:cs="Times New Roman" w:eastAsia="Times New Roman" w:hAnsi="Times New Roman"/>
          <w:b/>
          <w:bCs/>
          <w:color w:val="1B3A6B"/>
          <w:sz w:val="30"/>
          <w:szCs w:val="30"/>
        </w:rPr>
        <w:t xml:space="preserve">🔬 Théorie (20%) — Les trois mécanismes à maîtriser</w:t>
      </w:r>
    </w:p>
    <w:p>
      <w:pPr>
        <w:pBdr>
          <w:bottom w:val="single" w:color="1B3A6B" w:sz="6"/>
        </w:pBdr>
        <w:spacing w:after="120" w:before="120"/>
      </w:pPr>
      <w:r>
        <w:t xml:space="preserve"/>
      </w:r>
    </w:p>
    <w:p>
      <w:pPr>
        <w:pStyle w:val="Heading3"/>
        <w:spacing w:after="80" w:before="200"/>
      </w:pPr>
      <w:r>
        <w:rPr>
          <w:rFonts w:ascii="Times New Roman" w:cs="Times New Roman" w:eastAsia="Times New Roman" w:hAnsi="Times New Roman"/>
          <w:b/>
          <w:bCs/>
          <w:color w:val="1F2937"/>
          <w:sz w:val="26"/>
          <w:szCs w:val="26"/>
        </w:rPr>
        <w:t xml:space="preserve">1. Intérêts simples vs intérêts composés</w:t>
      </w:r>
    </w:p>
    <w:p>
      <w:pPr>
        <w:spacing w:after="80" w:before="80"/>
      </w:pPr>
      <w:r>
        <w:rPr>
          <w:rFonts w:ascii="Times New Roman" w:cs="Times New Roman" w:eastAsia="Times New Roman" w:hAnsi="Times New Roman"/>
          <w:b w:val="false"/>
          <w:bCs w:val="false"/>
          <w:i w:val="false"/>
          <w:iCs w:val="false"/>
          <w:color w:val="1F2937"/>
          <w:sz w:val="22"/>
          <w:szCs w:val="22"/>
        </w:rPr>
        <w:t xml:space="preserve">Avec les intérêts simples, chaque année tu gagnes des intérêts sur le capital initial uniquement. Avec les intérêts composés, les intérêts de chaque période s'ajoutent au capital et produisent eux-mêmes des intérêts l'année suivante. C'est l'effet boule de neige.</w:t>
      </w:r>
    </w:p>
    <w:p>
      <w:pPr>
        <w:spacing w:after="60" w:before="6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shd w:fill="1B3A6B" w:color="1B3A6B" w:val="solid"/>
          </w:tcPr>
          <w:p>
            <w:pPr>
              <w:jc w:val="center"/>
            </w:pPr>
            <w:r>
              <w:rPr>
                <w:rFonts w:ascii="Times New Roman" w:cs="Times New Roman" w:eastAsia="Times New Roman" w:hAnsi="Times New Roman"/>
                <w:b/>
                <w:bCs/>
                <w:color w:val="FFFFFF"/>
                <w:sz w:val="20"/>
                <w:szCs w:val="20"/>
              </w:rPr>
              <w:t xml:space="preserve">Intérêts simples</w:t>
            </w:r>
          </w:p>
        </w:tc>
        <w:tc>
          <w:tcPr>
            <w:tcW w:type="pct" w:w="50%"/>
            <w:shd w:fill="1B3A6B" w:color="1B3A6B" w:val="solid"/>
          </w:tcPr>
          <w:p>
            <w:pPr>
              <w:jc w:val="center"/>
            </w:pPr>
            <w:r>
              <w:rPr>
                <w:rFonts w:ascii="Times New Roman" w:cs="Times New Roman" w:eastAsia="Times New Roman" w:hAnsi="Times New Roman"/>
                <w:b/>
                <w:bCs/>
                <w:color w:val="FFFFFF"/>
                <w:sz w:val="20"/>
                <w:szCs w:val="20"/>
              </w:rPr>
              <w:t xml:space="preserve">Intérêts composés</w:t>
            </w:r>
          </w:p>
        </w:tc>
      </w:tr>
      <w:tr>
        <w:tc>
          <w:tcPr>
            <w:shd w:fill="FFFFFF" w:color="FFFFFF" w:val="solid"/>
          </w:tcPr>
          <w:p>
            <w:pPr>
              <w:jc w:val="center"/>
            </w:pPr>
            <w:r>
              <w:rPr>
                <w:rFonts w:ascii="Times New Roman" w:cs="Times New Roman" w:eastAsia="Times New Roman" w:hAnsi="Times New Roman"/>
                <w:color w:val="1F2937"/>
                <w:sz w:val="20"/>
                <w:szCs w:val="20"/>
              </w:rPr>
              <w:t xml:space="preserve">10 000 € à 4% pendant 10 ans</w:t>
            </w:r>
          </w:p>
        </w:tc>
        <w:tc>
          <w:tcPr>
            <w:shd w:fill="FFFFFF" w:color="FFFFFF" w:val="solid"/>
          </w:tcPr>
          <w:p>
            <w:pPr>
              <w:jc w:val="center"/>
            </w:pPr>
            <w:r>
              <w:rPr>
                <w:rFonts w:ascii="Times New Roman" w:cs="Times New Roman" w:eastAsia="Times New Roman" w:hAnsi="Times New Roman"/>
                <w:color w:val="1F2937"/>
                <w:sz w:val="20"/>
                <w:szCs w:val="20"/>
              </w:rPr>
              <w:t xml:space="preserve">10 000 € à 4% pendant 10 ans</w:t>
            </w:r>
          </w:p>
        </w:tc>
      </w:tr>
      <w:tr>
        <w:tc>
          <w:tcPr>
            <w:shd w:fill="EEF2F7" w:color="EEF2F7" w:val="solid"/>
          </w:tcPr>
          <w:p>
            <w:pPr>
              <w:jc w:val="center"/>
            </w:pPr>
            <w:r>
              <w:rPr>
                <w:rFonts w:ascii="Times New Roman" w:cs="Times New Roman" w:eastAsia="Times New Roman" w:hAnsi="Times New Roman"/>
                <w:color w:val="1F2937"/>
                <w:sz w:val="20"/>
                <w:szCs w:val="20"/>
              </w:rPr>
              <w:t xml:space="preserve">Intérêts simples : 10 000 + (10 000 × 4% × 10) = 14 000 €</w:t>
            </w:r>
          </w:p>
        </w:tc>
        <w:tc>
          <w:tcPr>
            <w:shd w:fill="EEF2F7" w:color="EEF2F7" w:val="solid"/>
          </w:tcPr>
          <w:p>
            <w:pPr>
              <w:jc w:val="center"/>
            </w:pPr>
            <w:r>
              <w:rPr>
                <w:rFonts w:ascii="Times New Roman" w:cs="Times New Roman" w:eastAsia="Times New Roman" w:hAnsi="Times New Roman"/>
                <w:color w:val="1F2937"/>
                <w:sz w:val="20"/>
                <w:szCs w:val="20"/>
              </w:rPr>
              <w:t xml:space="preserve">Intérêts composés : 10 000 × (1,04)¹⁰ = 14 802 €</w:t>
            </w:r>
          </w:p>
        </w:tc>
      </w:tr>
      <w:tr>
        <w:tc>
          <w:tcPr>
            <w:shd w:fill="FFFFFF" w:color="FFFFFF" w:val="solid"/>
          </w:tcPr>
          <w:p>
            <w:pPr>
              <w:jc w:val="center"/>
            </w:pPr>
            <w:r>
              <w:rPr>
                <w:rFonts w:ascii="Times New Roman" w:cs="Times New Roman" w:eastAsia="Times New Roman" w:hAnsi="Times New Roman"/>
                <w:color w:val="1F2937"/>
                <w:sz w:val="20"/>
                <w:szCs w:val="20"/>
              </w:rPr>
              <w:t xml:space="preserve">Gain : 4 000 €</w:t>
            </w:r>
          </w:p>
        </w:tc>
        <w:tc>
          <w:tcPr>
            <w:shd w:fill="FFFFFF" w:color="FFFFFF" w:val="solid"/>
          </w:tcPr>
          <w:p>
            <w:pPr>
              <w:jc w:val="center"/>
            </w:pPr>
            <w:r>
              <w:rPr>
                <w:rFonts w:ascii="Times New Roman" w:cs="Times New Roman" w:eastAsia="Times New Roman" w:hAnsi="Times New Roman"/>
                <w:color w:val="1F2937"/>
                <w:sz w:val="20"/>
                <w:szCs w:val="20"/>
              </w:rPr>
              <w:t xml:space="preserve">Gain : 4 802 € (+20% de plus)</w:t>
            </w:r>
          </w:p>
        </w:tc>
      </w:tr>
      <w:tr>
        <w:tc>
          <w:tcPr>
            <w:shd w:fill="EEF2F7" w:color="EEF2F7" w:val="solid"/>
          </w:tcPr>
          <w:p>
            <w:pPr>
              <w:jc w:val="center"/>
            </w:pPr>
            <w:r>
              <w:rPr>
                <w:rFonts w:ascii="Times New Roman" w:cs="Times New Roman" w:eastAsia="Times New Roman" w:hAnsi="Times New Roman"/>
                <w:color w:val="1F2937"/>
                <w:sz w:val="20"/>
                <w:szCs w:val="20"/>
              </w:rPr>
              <w:t xml:space="preserve">30 ans → 22 000 €</w:t>
            </w:r>
          </w:p>
        </w:tc>
        <w:tc>
          <w:tcPr>
            <w:shd w:fill="EEF2F7" w:color="EEF2F7" w:val="solid"/>
          </w:tcPr>
          <w:p>
            <w:pPr>
              <w:jc w:val="center"/>
            </w:pPr>
            <w:r>
              <w:rPr>
                <w:rFonts w:ascii="Times New Roman" w:cs="Times New Roman" w:eastAsia="Times New Roman" w:hAnsi="Times New Roman"/>
                <w:color w:val="1F2937"/>
                <w:sz w:val="20"/>
                <w:szCs w:val="20"/>
              </w:rPr>
              <w:t xml:space="preserve">30 ans → 32 434 € (+47% de plus)</w:t>
            </w:r>
          </w:p>
        </w:tc>
      </w:tr>
    </w:tbl>
    <w:p>
      <w:pPr>
        <w:spacing w:after="60" w:before="60"/>
      </w:pPr>
      <w:r>
        <w:t xml:space="preserve"/>
      </w:r>
    </w:p>
    <w:p>
      <w:pPr>
        <w:pStyle w:val="Heading3"/>
        <w:spacing w:after="80" w:before="200"/>
      </w:pPr>
      <w:r>
        <w:rPr>
          <w:rFonts w:ascii="Times New Roman" w:cs="Times New Roman" w:eastAsia="Times New Roman" w:hAnsi="Times New Roman"/>
          <w:b/>
          <w:bCs/>
          <w:color w:val="1F2937"/>
          <w:sz w:val="26"/>
          <w:szCs w:val="26"/>
        </w:rPr>
        <w:t xml:space="preserve">2. La formule des intérêts composés</w:t>
      </w:r>
    </w:p>
    <w:p>
      <w:pPr>
        <w:shd w:fill="E8EDF5" w:color="E8EDF5" w:val="solid"/>
        <w:spacing w:after="120" w:before="120"/>
        <w:jc w:val="center"/>
      </w:pPr>
      <w:r>
        <w:rPr>
          <w:rFonts w:ascii="Courier New" w:cs="Courier New" w:eastAsia="Courier New" w:hAnsi="Courier New"/>
          <w:b/>
          <w:bCs/>
          <w:color w:val="1B3A6B"/>
          <w:sz w:val="24"/>
          <w:szCs w:val="24"/>
        </w:rPr>
        <w:t xml:space="preserve">Cn = C₀ × (1 + r)ⁿ</w:t>
      </w:r>
    </w:p>
    <w:p>
      <w:pPr>
        <w:spacing w:after="80" w:before="80"/>
      </w:pPr>
      <w:r>
        <w:rPr>
          <w:rFonts w:ascii="Times New Roman" w:cs="Times New Roman" w:eastAsia="Times New Roman" w:hAnsi="Times New Roman"/>
          <w:b w:val="false"/>
          <w:bCs w:val="false"/>
          <w:i w:val="false"/>
          <w:iCs w:val="false"/>
          <w:color w:val="1F2937"/>
          <w:sz w:val="22"/>
          <w:szCs w:val="22"/>
        </w:rPr>
        <w:t xml:space="preserve">Où :</w:t>
      </w:r>
    </w:p>
    <w:p>
      <w:pPr>
        <w:pStyle w:val="ListParagraph"/>
        <w:numPr>
          <w:ilvl w:val="0"/>
          <w:numId w:val="1"/>
        </w:numPr>
        <w:spacing w:after="60" w:before="60"/>
      </w:pPr>
      <w:r>
        <w:rPr>
          <w:rFonts w:ascii="Times New Roman" w:cs="Times New Roman" w:eastAsia="Times New Roman" w:hAnsi="Times New Roman"/>
          <w:b/>
          <w:bCs/>
          <w:color w:val="1F2937"/>
          <w:sz w:val="22"/>
          <w:szCs w:val="22"/>
        </w:rPr>
        <w:t xml:space="preserve">C₀ </w:t>
      </w:r>
      <w:r>
        <w:rPr>
          <w:rFonts w:ascii="Times New Roman" w:cs="Times New Roman" w:eastAsia="Times New Roman" w:hAnsi="Times New Roman"/>
          <w:color w:val="1F2937"/>
          <w:sz w:val="22"/>
          <w:szCs w:val="22"/>
        </w:rPr>
        <w:t xml:space="preserve">: capital initial placé</w:t>
      </w:r>
    </w:p>
    <w:p>
      <w:pPr>
        <w:pStyle w:val="ListParagraph"/>
        <w:numPr>
          <w:ilvl w:val="0"/>
          <w:numId w:val="1"/>
        </w:numPr>
        <w:spacing w:after="60" w:before="60"/>
      </w:pPr>
      <w:r>
        <w:rPr>
          <w:rFonts w:ascii="Times New Roman" w:cs="Times New Roman" w:eastAsia="Times New Roman" w:hAnsi="Times New Roman"/>
          <w:b/>
          <w:bCs/>
          <w:color w:val="1F2937"/>
          <w:sz w:val="22"/>
          <w:szCs w:val="22"/>
        </w:rPr>
        <w:t xml:space="preserve">r </w:t>
      </w:r>
      <w:r>
        <w:rPr>
          <w:rFonts w:ascii="Times New Roman" w:cs="Times New Roman" w:eastAsia="Times New Roman" w:hAnsi="Times New Roman"/>
          <w:color w:val="1F2937"/>
          <w:sz w:val="22"/>
          <w:szCs w:val="22"/>
        </w:rPr>
        <w:t xml:space="preserve">: taux de rendement annuel (en décimal : 4% → 0,04)</w:t>
      </w:r>
    </w:p>
    <w:p>
      <w:pPr>
        <w:pStyle w:val="ListParagraph"/>
        <w:numPr>
          <w:ilvl w:val="0"/>
          <w:numId w:val="1"/>
        </w:numPr>
        <w:spacing w:after="60" w:before="60"/>
      </w:pPr>
      <w:r>
        <w:rPr>
          <w:rFonts w:ascii="Times New Roman" w:cs="Times New Roman" w:eastAsia="Times New Roman" w:hAnsi="Times New Roman"/>
          <w:b/>
          <w:bCs/>
          <w:color w:val="1F2937"/>
          <w:sz w:val="22"/>
          <w:szCs w:val="22"/>
        </w:rPr>
        <w:t xml:space="preserve">n </w:t>
      </w:r>
      <w:r>
        <w:rPr>
          <w:rFonts w:ascii="Times New Roman" w:cs="Times New Roman" w:eastAsia="Times New Roman" w:hAnsi="Times New Roman"/>
          <w:color w:val="1F2937"/>
          <w:sz w:val="22"/>
          <w:szCs w:val="22"/>
        </w:rPr>
        <w:t xml:space="preserve">: nombre d'années</w:t>
      </w:r>
    </w:p>
    <w:p>
      <w:pPr>
        <w:pStyle w:val="ListParagraph"/>
        <w:numPr>
          <w:ilvl w:val="0"/>
          <w:numId w:val="1"/>
        </w:numPr>
        <w:spacing w:after="60" w:before="60"/>
      </w:pPr>
      <w:r>
        <w:rPr>
          <w:rFonts w:ascii="Times New Roman" w:cs="Times New Roman" w:eastAsia="Times New Roman" w:hAnsi="Times New Roman"/>
          <w:b/>
          <w:bCs/>
          <w:color w:val="1F2937"/>
          <w:sz w:val="22"/>
          <w:szCs w:val="22"/>
        </w:rPr>
        <w:t xml:space="preserve">Cn </w:t>
      </w:r>
      <w:r>
        <w:rPr>
          <w:rFonts w:ascii="Times New Roman" w:cs="Times New Roman" w:eastAsia="Times New Roman" w:hAnsi="Times New Roman"/>
          <w:color w:val="1F2937"/>
          <w:sz w:val="22"/>
          <w:szCs w:val="22"/>
        </w:rPr>
        <w:t xml:space="preserve">: capital final après n années</w:t>
      </w:r>
    </w:p>
    <w:p>
      <w:pPr>
        <w:spacing w:after="60" w:before="60"/>
      </w:pPr>
      <w:r>
        <w:t xml:space="preserve"/>
      </w:r>
    </w:p>
    <w:p>
      <w:pPr>
        <w:spacing w:after="80" w:before="80"/>
      </w:pPr>
      <w:r>
        <w:rPr>
          <w:rFonts w:ascii="Times New Roman" w:cs="Times New Roman" w:eastAsia="Times New Roman" w:hAnsi="Times New Roman"/>
          <w:b w:val="false"/>
          <w:bCs w:val="false"/>
          <w:i w:val="false"/>
          <w:iCs w:val="false"/>
          <w:color w:val="1F2937"/>
          <w:sz w:val="22"/>
          <w:szCs w:val="22"/>
        </w:rPr>
        <w:t xml:space="preserve">Exemples concrets :</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10 000 € à 3% / 10 ans → 10 000 × (1,03)¹⁰ = 13 439 €</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10 000 € à 5% / 20 ans → 10 000 × (1,05)²⁰ = 26 533 €</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10 000 € à 7% / 30 ans → 10 000 × (1,07)³⁰ = 76 123 € (vs 31 000 € en intérêts simples !)</w:t>
      </w:r>
    </w:p>
    <w:p>
      <w:pPr>
        <w:spacing w:after="60" w:before="60"/>
      </w:pPr>
      <w:r>
        <w:t xml:space="preserve"/>
      </w:r>
    </w:p>
    <w:p>
      <w:pPr>
        <w:spacing w:after="100" w:before="100"/>
        <w:ind w:left="576"/>
      </w:pPr>
      <w:r>
        <w:rPr>
          <w:rFonts w:ascii="Times New Roman" w:cs="Times New Roman" w:eastAsia="Times New Roman" w:hAnsi="Times New Roman"/>
          <w:i/>
          <w:iCs/>
          <w:color w:val="1B3A6B"/>
          <w:sz w:val="22"/>
          <w:szCs w:val="22"/>
        </w:rPr>
        <w:t xml:space="preserve">« Les intérêts composés sont la huitième merveille du monde. Qui les comprend les gagne, qui ne les comprend pas les paye. » — Attribué à Albert Einstein</w:t>
      </w:r>
    </w:p>
    <w:p>
      <w:pPr>
        <w:pStyle w:val="Heading3"/>
        <w:spacing w:after="80" w:before="200"/>
      </w:pPr>
      <w:r>
        <w:rPr>
          <w:rFonts w:ascii="Times New Roman" w:cs="Times New Roman" w:eastAsia="Times New Roman" w:hAnsi="Times New Roman"/>
          <w:b/>
          <w:bCs/>
          <w:color w:val="1F2937"/>
          <w:sz w:val="26"/>
          <w:szCs w:val="26"/>
        </w:rPr>
        <w:t xml:space="preserve">3. La règle des 72 (ou règle d'Einstein)</w:t>
      </w:r>
    </w:p>
    <w:p>
      <w:pPr>
        <w:spacing w:after="80" w:before="80"/>
      </w:pPr>
      <w:r>
        <w:rPr>
          <w:rFonts w:ascii="Times New Roman" w:cs="Times New Roman" w:eastAsia="Times New Roman" w:hAnsi="Times New Roman"/>
          <w:b w:val="false"/>
          <w:bCs w:val="false"/>
          <w:i w:val="false"/>
          <w:iCs w:val="false"/>
          <w:color w:val="1F2937"/>
          <w:sz w:val="22"/>
          <w:szCs w:val="22"/>
        </w:rPr>
        <w:t xml:space="preserve">Pour estimer rapidement en combien d'années ton capital double, divise 72 par le taux annuel (en %) :</w:t>
      </w:r>
    </w:p>
    <w:p>
      <w:pPr>
        <w:shd w:fill="E8EDF5" w:color="E8EDF5" w:val="solid"/>
        <w:spacing w:after="120" w:before="120"/>
        <w:jc w:val="center"/>
      </w:pPr>
      <w:r>
        <w:rPr>
          <w:rFonts w:ascii="Courier New" w:cs="Courier New" w:eastAsia="Courier New" w:hAnsi="Courier New"/>
          <w:b/>
          <w:bCs/>
          <w:color w:val="1B3A6B"/>
          <w:sz w:val="24"/>
          <w:szCs w:val="24"/>
        </w:rPr>
        <w:t xml:space="preserve">Années pour doubler ≈ 72 ÷ taux annuel (%)</w:t>
      </w:r>
    </w:p>
    <w:p>
      <w:pPr>
        <w:spacing w:after="80" w:before="80"/>
      </w:pPr>
      <w:r>
        <w:rPr>
          <w:rFonts w:ascii="Times New Roman" w:cs="Times New Roman" w:eastAsia="Times New Roman" w:hAnsi="Times New Roman"/>
          <w:b w:val="false"/>
          <w:bCs w:val="false"/>
          <w:i w:val="false"/>
          <w:iCs w:val="false"/>
          <w:color w:val="1F2937"/>
          <w:sz w:val="22"/>
          <w:szCs w:val="22"/>
        </w:rPr>
        <w:t xml:space="preserve">Exemples :</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Taux 2% → 72 ÷ 2 = 36 ans</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Taux 4% → 72 ÷ 4 = 18 ans</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Taux 6% → 72 ÷ 6 = 12 ans</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Taux 9% → 72 ÷ 9 = 8 ans  ← intéressant sur ton horizon de 7-8 ans</w:t>
      </w:r>
    </w:p>
    <w:p>
      <w:pPr>
        <w:spacing w:after="60" w:before="60"/>
      </w:pPr>
      <w:r>
        <w:t xml:space="preserve"/>
      </w:r>
    </w:p>
    <w:p>
      <w:pPr>
        <w:shd w:fill="F3F4F6" w:color="F3F4F6" w:val="solid"/>
        <w:spacing w:after="100" w:before="100"/>
        <w:ind w:left="288" w:right="288"/>
      </w:pPr>
      <w:r>
        <w:rPr>
          <w:rFonts w:ascii="Times New Roman" w:cs="Times New Roman" w:eastAsia="Times New Roman" w:hAnsi="Times New Roman"/>
          <w:b/>
          <w:bCs/>
          <w:color w:val="1F2937"/>
          <w:sz w:val="22"/>
          <w:szCs w:val="22"/>
        </w:rPr>
        <w:t xml:space="preserve">⚠️ </w:t>
      </w:r>
      <w:r>
        <w:rPr>
          <w:rFonts w:ascii="Times New Roman" w:cs="Times New Roman" w:eastAsia="Times New Roman" w:hAnsi="Times New Roman"/>
          <w:color w:val="1F2937"/>
          <w:sz w:val="22"/>
          <w:szCs w:val="22"/>
        </w:rPr>
        <w:t xml:space="preserve">Attention : un taux de 9% annuel suppose une prise de risque significative (actions). Il n'est pas garanti et s'accompagne d'une volatilité importante. Risque de perte en capital.</w:t>
      </w:r>
    </w:p>
    <w:p>
      <w:pPr>
        <w:pStyle w:val="Heading3"/>
        <w:spacing w:after="80" w:before="200"/>
      </w:pPr>
      <w:r>
        <w:rPr>
          <w:rFonts w:ascii="Times New Roman" w:cs="Times New Roman" w:eastAsia="Times New Roman" w:hAnsi="Times New Roman"/>
          <w:b/>
          <w:bCs/>
          <w:color w:val="1F2937"/>
          <w:sz w:val="26"/>
          <w:szCs w:val="26"/>
        </w:rPr>
        <w:t xml:space="preserve">4. L'inflation et le rendement réel</w:t>
      </w:r>
    </w:p>
    <w:p>
      <w:pPr>
        <w:spacing w:after="80" w:before="80"/>
      </w:pPr>
      <w:r>
        <w:rPr>
          <w:rFonts w:ascii="Times New Roman" w:cs="Times New Roman" w:eastAsia="Times New Roman" w:hAnsi="Times New Roman"/>
          <w:b w:val="false"/>
          <w:bCs w:val="false"/>
          <w:i w:val="false"/>
          <w:iCs w:val="false"/>
          <w:color w:val="1F2937"/>
          <w:sz w:val="22"/>
          <w:szCs w:val="22"/>
        </w:rPr>
        <w:t xml:space="preserve">Le taux nominal est celui inscrit sur le contrat. Mais l'inflation grignote ce rendement chaque année. Le taux réel exprime ce que tu gagnes réellement en pouvoir d'achat :</w:t>
      </w:r>
    </w:p>
    <w:p>
      <w:pPr>
        <w:shd w:fill="E8EDF5" w:color="E8EDF5" w:val="solid"/>
        <w:spacing w:after="120" w:before="120"/>
        <w:jc w:val="center"/>
      </w:pPr>
      <w:r>
        <w:rPr>
          <w:rFonts w:ascii="Courier New" w:cs="Courier New" w:eastAsia="Courier New" w:hAnsi="Courier New"/>
          <w:b/>
          <w:bCs/>
          <w:color w:val="1B3A6B"/>
          <w:sz w:val="24"/>
          <w:szCs w:val="24"/>
        </w:rPr>
        <w:t xml:space="preserve">Taux réel ≈ Taux nominal − Taux d'inflation</w:t>
      </w:r>
    </w:p>
    <w:p>
      <w:pPr>
        <w:spacing w:after="80" w:before="80"/>
      </w:pPr>
      <w:r>
        <w:rPr>
          <w:rFonts w:ascii="Times New Roman" w:cs="Times New Roman" w:eastAsia="Times New Roman" w:hAnsi="Times New Roman"/>
          <w:b w:val="false"/>
          <w:bCs w:val="false"/>
          <w:i w:val="false"/>
          <w:iCs w:val="false"/>
          <w:color w:val="1F2937"/>
          <w:sz w:val="22"/>
          <w:szCs w:val="22"/>
        </w:rPr>
        <w:t xml:space="preserve">Formule exacte (Fisher) :</w:t>
      </w:r>
    </w:p>
    <w:p>
      <w:pPr>
        <w:shd w:fill="E8EDF5" w:color="E8EDF5" w:val="solid"/>
        <w:spacing w:after="120" w:before="120"/>
        <w:jc w:val="center"/>
      </w:pPr>
      <w:r>
        <w:rPr>
          <w:rFonts w:ascii="Courier New" w:cs="Courier New" w:eastAsia="Courier New" w:hAnsi="Courier New"/>
          <w:b/>
          <w:bCs/>
          <w:color w:val="1B3A6B"/>
          <w:sz w:val="24"/>
          <w:szCs w:val="24"/>
        </w:rPr>
        <w:t xml:space="preserve">(1 + r) = (1 + nominal) ÷ (1 + inflation)</w:t>
      </w:r>
    </w:p>
    <w:p>
      <w:pPr>
        <w:spacing w:after="80" w:before="80"/>
      </w:pPr>
      <w:r>
        <w:rPr>
          <w:rFonts w:ascii="Times New Roman" w:cs="Times New Roman" w:eastAsia="Times New Roman" w:hAnsi="Times New Roman"/>
          <w:b w:val="false"/>
          <w:bCs w:val="false"/>
          <w:i w:val="false"/>
          <w:iCs w:val="false"/>
          <w:color w:val="1F2937"/>
          <w:sz w:val="22"/>
          <w:szCs w:val="22"/>
        </w:rPr>
        <w:t xml:space="preserve">Exemples :</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Placement à 3% nominal, inflation 0% → taux réel = 3% ✅</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Placement à 3% nominal, inflation 2% → taux réel ≈ 1% ⚠️</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Placement à 3% nominal, inflation 5% → taux réel ≈ −2% ❌ (perte de pouvoir d'achat)</w:t>
      </w:r>
    </w:p>
    <w:p>
      <w:pPr>
        <w:spacing w:after="60" w:before="60"/>
      </w:pPr>
      <w:r>
        <w:t xml:space="preserve"/>
      </w:r>
    </w:p>
    <w:p>
      <w:pPr>
        <w:spacing w:after="80" w:before="80"/>
      </w:pPr>
      <w:r>
        <w:rPr>
          <w:rFonts w:ascii="Times New Roman" w:cs="Times New Roman" w:eastAsia="Times New Roman" w:hAnsi="Times New Roman"/>
          <w:b w:val="false"/>
          <w:bCs w:val="false"/>
          <w:i w:val="false"/>
          <w:iCs w:val="false"/>
          <w:color w:val="1F2937"/>
          <w:sz w:val="22"/>
          <w:szCs w:val="22"/>
        </w:rPr>
        <w:t xml:space="preserve">Cas réel 2026 — Livret A :</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Taux Livret A depuis le 1er février 2026 : 1,50%</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Si inflation = 1,2% → taux réel ≈ +0,30% (protection très légère)</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Si inflation = 2% → taux réel ≈ −0,50% (le Livret A ne protège plus)</w:t>
      </w:r>
    </w:p>
    <w:p>
      <w:pPr>
        <w:spacing w:after="60" w:before="60"/>
      </w:pPr>
      <w:r>
        <w:t xml:space="preserve"/>
      </w:r>
    </w:p>
    <w:p>
      <w:pPr>
        <w:shd w:fill="F3F4F6" w:color="F3F4F6" w:val="solid"/>
        <w:spacing w:after="100" w:before="100"/>
        <w:ind w:left="288" w:right="288"/>
      </w:pPr>
      <w:r>
        <w:rPr>
          <w:rFonts w:ascii="Times New Roman" w:cs="Times New Roman" w:eastAsia="Times New Roman" w:hAnsi="Times New Roman"/>
          <w:b/>
          <w:bCs/>
          <w:color w:val="1F2937"/>
          <w:sz w:val="22"/>
          <w:szCs w:val="22"/>
        </w:rPr>
        <w:t xml:space="preserve">📌 Exemple historique : </w:t>
      </w:r>
      <w:r>
        <w:rPr>
          <w:rFonts w:ascii="Times New Roman" w:cs="Times New Roman" w:eastAsia="Times New Roman" w:hAnsi="Times New Roman"/>
          <w:color w:val="1F2937"/>
          <w:sz w:val="22"/>
          <w:szCs w:val="22"/>
        </w:rPr>
        <w:t xml:space="preserve">En 2023, le Livret A affichait 3% mais l'inflation atteignait 4,9%. Le taux réel était donc négatif (−1,9%) : l'épargne "sécurisée" perdait du pouvoir d'achat ! Ce n'est pas intuitif, d'où l'importance de raisonner en termes réels.</w:t>
      </w:r>
    </w:p>
    <w:p>
      <w:pPr>
        <w:pStyle w:val="Heading3"/>
        <w:spacing w:after="80" w:before="200"/>
      </w:pPr>
      <w:r>
        <w:rPr>
          <w:rFonts w:ascii="Times New Roman" w:cs="Times New Roman" w:eastAsia="Times New Roman" w:hAnsi="Times New Roman"/>
          <w:b/>
          <w:bCs/>
          <w:color w:val="1F2937"/>
          <w:sz w:val="26"/>
          <w:szCs w:val="26"/>
        </w:rPr>
        <w:t xml:space="preserve">5. L'érosion monétaire sur la durée</w:t>
      </w:r>
    </w:p>
    <w:p>
      <w:pPr>
        <w:spacing w:after="80" w:before="80"/>
      </w:pPr>
      <w:r>
        <w:rPr>
          <w:rFonts w:ascii="Times New Roman" w:cs="Times New Roman" w:eastAsia="Times New Roman" w:hAnsi="Times New Roman"/>
          <w:b w:val="false"/>
          <w:bCs w:val="false"/>
          <w:i w:val="false"/>
          <w:iCs w:val="false"/>
          <w:color w:val="1F2937"/>
          <w:sz w:val="22"/>
          <w:szCs w:val="22"/>
        </w:rPr>
        <w:t xml:space="preserve">L'inflation agit de manière symétrique aux intérêts composés, mais dans le sens inverse : elle réduit exponentiellement la valeur réelle de l'argent.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shd w:fill="1B3A6B" w:color="1B3A6B" w:val="solid"/>
          </w:tcPr>
          <w:p>
            <w:pPr>
              <w:jc w:val="center"/>
            </w:pPr>
            <w:r>
              <w:rPr>
                <w:rFonts w:ascii="Times New Roman" w:cs="Times New Roman" w:eastAsia="Times New Roman" w:hAnsi="Times New Roman"/>
                <w:b/>
                <w:bCs/>
                <w:color w:val="FFFFFF"/>
                <w:sz w:val="20"/>
                <w:szCs w:val="20"/>
              </w:rPr>
              <w:t xml:space="preserve">Horizon</w:t>
            </w:r>
          </w:p>
        </w:tc>
        <w:tc>
          <w:tcPr>
            <w:tcW w:type="pct" w:w="50%"/>
            <w:shd w:fill="1B3A6B" w:color="1B3A6B" w:val="solid"/>
          </w:tcPr>
          <w:p>
            <w:pPr>
              <w:jc w:val="center"/>
            </w:pPr>
            <w:r>
              <w:rPr>
                <w:rFonts w:ascii="Times New Roman" w:cs="Times New Roman" w:eastAsia="Times New Roman" w:hAnsi="Times New Roman"/>
                <w:b/>
                <w:bCs/>
                <w:color w:val="FFFFFF"/>
                <w:sz w:val="20"/>
                <w:szCs w:val="20"/>
              </w:rPr>
              <w:t xml:space="preserve">Valeur réelle avec inflation à 2%</w:t>
            </w:r>
          </w:p>
        </w:tc>
      </w:tr>
      <w:tr>
        <w:tc>
          <w:tcPr>
            <w:shd w:fill="FFFFFF" w:color="FFFFFF" w:val="solid"/>
          </w:tcPr>
          <w:p>
            <w:pPr>
              <w:jc w:val="center"/>
            </w:pPr>
            <w:r>
              <w:rPr>
                <w:rFonts w:ascii="Times New Roman" w:cs="Times New Roman" w:eastAsia="Times New Roman" w:hAnsi="Times New Roman"/>
                <w:color w:val="1F2937"/>
                <w:sz w:val="20"/>
                <w:szCs w:val="20"/>
              </w:rPr>
              <w:t xml:space="preserve">100 000 € aujourd'hui</w:t>
            </w:r>
          </w:p>
        </w:tc>
        <w:tc>
          <w:tcPr>
            <w:shd w:fill="FFFFFF" w:color="FFFFFF" w:val="solid"/>
          </w:tcPr>
          <w:p>
            <w:pPr>
              <w:jc w:val="center"/>
            </w:pPr>
            <w:r>
              <w:rPr>
                <w:rFonts w:ascii="Times New Roman" w:cs="Times New Roman" w:eastAsia="Times New Roman" w:hAnsi="Times New Roman"/>
                <w:color w:val="1F2937"/>
                <w:sz w:val="20"/>
                <w:szCs w:val="20"/>
              </w:rPr>
              <w:t xml:space="preserve">Valeur réelle dans N ans (inflation 2%/an)</w:t>
            </w:r>
          </w:p>
        </w:tc>
      </w:tr>
      <w:tr>
        <w:tc>
          <w:tcPr>
            <w:shd w:fill="EEF2F7" w:color="EEF2F7" w:val="solid"/>
          </w:tcPr>
          <w:p>
            <w:pPr>
              <w:jc w:val="center"/>
            </w:pPr>
            <w:r>
              <w:rPr>
                <w:rFonts w:ascii="Times New Roman" w:cs="Times New Roman" w:eastAsia="Times New Roman" w:hAnsi="Times New Roman"/>
                <w:color w:val="1F2937"/>
                <w:sz w:val="20"/>
                <w:szCs w:val="20"/>
              </w:rPr>
              <w:t xml:space="preserve">5 ans</w:t>
            </w:r>
          </w:p>
        </w:tc>
        <w:tc>
          <w:tcPr>
            <w:shd w:fill="EEF2F7" w:color="EEF2F7" w:val="solid"/>
          </w:tcPr>
          <w:p>
            <w:pPr>
              <w:jc w:val="center"/>
            </w:pPr>
            <w:r>
              <w:rPr>
                <w:rFonts w:ascii="Times New Roman" w:cs="Times New Roman" w:eastAsia="Times New Roman" w:hAnsi="Times New Roman"/>
                <w:color w:val="1F2937"/>
                <w:sz w:val="20"/>
                <w:szCs w:val="20"/>
              </w:rPr>
              <w:t xml:space="preserve">90 573 €</w:t>
            </w:r>
          </w:p>
        </w:tc>
      </w:tr>
      <w:tr>
        <w:tc>
          <w:tcPr>
            <w:shd w:fill="FFFFFF" w:color="FFFFFF" w:val="solid"/>
          </w:tcPr>
          <w:p>
            <w:pPr>
              <w:jc w:val="center"/>
            </w:pPr>
            <w:r>
              <w:rPr>
                <w:rFonts w:ascii="Times New Roman" w:cs="Times New Roman" w:eastAsia="Times New Roman" w:hAnsi="Times New Roman"/>
                <w:color w:val="1F2937"/>
                <w:sz w:val="20"/>
                <w:szCs w:val="20"/>
              </w:rPr>
              <w:t xml:space="preserve">10 ans</w:t>
            </w:r>
          </w:p>
        </w:tc>
        <w:tc>
          <w:tcPr>
            <w:shd w:fill="FFFFFF" w:color="FFFFFF" w:val="solid"/>
          </w:tcPr>
          <w:p>
            <w:pPr>
              <w:jc w:val="center"/>
            </w:pPr>
            <w:r>
              <w:rPr>
                <w:rFonts w:ascii="Times New Roman" w:cs="Times New Roman" w:eastAsia="Times New Roman" w:hAnsi="Times New Roman"/>
                <w:color w:val="1F2937"/>
                <w:sz w:val="20"/>
                <w:szCs w:val="20"/>
              </w:rPr>
              <w:t xml:space="preserve">82 035 €</w:t>
            </w:r>
          </w:p>
        </w:tc>
      </w:tr>
      <w:tr>
        <w:tc>
          <w:tcPr>
            <w:shd w:fill="EEF2F7" w:color="EEF2F7" w:val="solid"/>
          </w:tcPr>
          <w:p>
            <w:pPr>
              <w:jc w:val="center"/>
            </w:pPr>
            <w:r>
              <w:rPr>
                <w:rFonts w:ascii="Times New Roman" w:cs="Times New Roman" w:eastAsia="Times New Roman" w:hAnsi="Times New Roman"/>
                <w:color w:val="1F2937"/>
                <w:sz w:val="20"/>
                <w:szCs w:val="20"/>
              </w:rPr>
              <w:t xml:space="preserve">15 ans</w:t>
            </w:r>
          </w:p>
        </w:tc>
        <w:tc>
          <w:tcPr>
            <w:shd w:fill="EEF2F7" w:color="EEF2F7" w:val="solid"/>
          </w:tcPr>
          <w:p>
            <w:pPr>
              <w:jc w:val="center"/>
            </w:pPr>
            <w:r>
              <w:rPr>
                <w:rFonts w:ascii="Times New Roman" w:cs="Times New Roman" w:eastAsia="Times New Roman" w:hAnsi="Times New Roman"/>
                <w:color w:val="1F2937"/>
                <w:sz w:val="20"/>
                <w:szCs w:val="20"/>
              </w:rPr>
              <w:t xml:space="preserve">74 301 €</w:t>
            </w:r>
          </w:p>
        </w:tc>
      </w:tr>
      <w:tr>
        <w:tc>
          <w:tcPr>
            <w:shd w:fill="FFFFFF" w:color="FFFFFF" w:val="solid"/>
          </w:tcPr>
          <w:p>
            <w:pPr>
              <w:jc w:val="center"/>
            </w:pPr>
            <w:r>
              <w:rPr>
                <w:rFonts w:ascii="Times New Roman" w:cs="Times New Roman" w:eastAsia="Times New Roman" w:hAnsi="Times New Roman"/>
                <w:color w:val="1F2937"/>
                <w:sz w:val="20"/>
                <w:szCs w:val="20"/>
              </w:rPr>
              <w:t xml:space="preserve">20 ans</w:t>
            </w:r>
          </w:p>
        </w:tc>
        <w:tc>
          <w:tcPr>
            <w:shd w:fill="FFFFFF" w:color="FFFFFF" w:val="solid"/>
          </w:tcPr>
          <w:p>
            <w:pPr>
              <w:jc w:val="center"/>
            </w:pPr>
            <w:r>
              <w:rPr>
                <w:rFonts w:ascii="Times New Roman" w:cs="Times New Roman" w:eastAsia="Times New Roman" w:hAnsi="Times New Roman"/>
                <w:color w:val="1F2937"/>
                <w:sz w:val="20"/>
                <w:szCs w:val="20"/>
              </w:rPr>
              <w:t xml:space="preserve">67 297 €</w:t>
            </w:r>
          </w:p>
        </w:tc>
      </w:tr>
      <w:tr>
        <w:tc>
          <w:tcPr>
            <w:shd w:fill="EEF2F7" w:color="EEF2F7" w:val="solid"/>
          </w:tcPr>
          <w:p>
            <w:pPr>
              <w:jc w:val="center"/>
            </w:pPr>
            <w:r>
              <w:rPr>
                <w:rFonts w:ascii="Times New Roman" w:cs="Times New Roman" w:eastAsia="Times New Roman" w:hAnsi="Times New Roman"/>
                <w:color w:val="1F2937"/>
                <w:sz w:val="20"/>
                <w:szCs w:val="20"/>
              </w:rPr>
              <w:t xml:space="preserve">25 ans</w:t>
            </w:r>
          </w:p>
        </w:tc>
        <w:tc>
          <w:tcPr>
            <w:shd w:fill="EEF2F7" w:color="EEF2F7" w:val="solid"/>
          </w:tcPr>
          <w:p>
            <w:pPr>
              <w:jc w:val="center"/>
            </w:pPr>
            <w:r>
              <w:rPr>
                <w:rFonts w:ascii="Times New Roman" w:cs="Times New Roman" w:eastAsia="Times New Roman" w:hAnsi="Times New Roman"/>
                <w:color w:val="1F2937"/>
                <w:sz w:val="20"/>
                <w:szCs w:val="20"/>
              </w:rPr>
              <w:t xml:space="preserve">60 953 €</w:t>
            </w:r>
          </w:p>
        </w:tc>
      </w:tr>
    </w:tbl>
    <w:p>
      <w:pPr>
        <w:spacing w:after="60" w:before="60"/>
      </w:pPr>
      <w:r>
        <w:t xml:space="preserve"/>
      </w:r>
    </w:p>
    <w:p>
      <w:pPr>
        <w:spacing w:after="80" w:before="80"/>
      </w:pPr>
      <w:r>
        <w:rPr>
          <w:rFonts w:ascii="Times New Roman" w:cs="Times New Roman" w:eastAsia="Times New Roman" w:hAnsi="Times New Roman"/>
          <w:b w:val="false"/>
          <w:bCs w:val="false"/>
          <w:i w:val="false"/>
          <w:iCs w:val="false"/>
          <w:color w:val="1F2937"/>
          <w:sz w:val="22"/>
          <w:szCs w:val="22"/>
        </w:rPr>
        <w:t xml:space="preserve">Conclusion : ne pas investir (laisser dormir du cash) n'est pas « sûr ». C'est accepter une perte certaine de pouvoir d'achat. La vraie question est : à quel taux et avec quel risque ?</w:t>
      </w:r>
    </w:p>
    <w:p>
      <w:pPr>
        <w:pBdr>
          <w:bottom w:val="single" w:color="1B3A6B" w:sz="6"/>
        </w:pBdr>
        <w:spacing w:after="120" w:before="120"/>
      </w:pPr>
      <w:r>
        <w:t xml:space="preserve"/>
      </w:r>
    </w:p>
    <w:p>
      <w:pPr>
        <w:pStyle w:val="Heading2"/>
        <w:spacing w:after="120" w:before="320"/>
      </w:pPr>
      <w:r>
        <w:rPr>
          <w:rFonts w:ascii="Times New Roman" w:cs="Times New Roman" w:eastAsia="Times New Roman" w:hAnsi="Times New Roman"/>
          <w:b/>
          <w:bCs/>
          <w:color w:val="1B3A6B"/>
          <w:sz w:val="30"/>
          <w:szCs w:val="30"/>
        </w:rPr>
        <w:t xml:space="preserve">🛠️ Pratique (80%) — Exercices d'apprentissage actif</w:t>
      </w:r>
    </w:p>
    <w:p>
      <w:pPr>
        <w:pStyle w:val="Heading3"/>
        <w:spacing w:after="80" w:before="200"/>
      </w:pPr>
      <w:r>
        <w:rPr>
          <w:rFonts w:ascii="Times New Roman" w:cs="Times New Roman" w:eastAsia="Times New Roman" w:hAnsi="Times New Roman"/>
          <w:b/>
          <w:bCs/>
          <w:color w:val="1F2937"/>
          <w:sz w:val="26"/>
          <w:szCs w:val="26"/>
        </w:rPr>
        <w:t xml:space="preserve">Exercice 1 — Comparer intérêts simples et composés</w:t>
      </w:r>
    </w:p>
    <w:p>
      <w:pPr>
        <w:spacing w:after="80" w:before="80"/>
      </w:pPr>
      <w:r>
        <w:rPr>
          <w:rFonts w:ascii="Times New Roman" w:cs="Times New Roman" w:eastAsia="Times New Roman" w:hAnsi="Times New Roman"/>
          <w:b w:val="false"/>
          <w:bCs w:val="false"/>
          <w:i w:val="false"/>
          <w:iCs w:val="false"/>
          <w:color w:val="1F2937"/>
          <w:sz w:val="22"/>
          <w:szCs w:val="22"/>
        </w:rPr>
        <w:t xml:space="preserve">Tu disposes de 15 000 € à placer pendant 15 ans à un taux annuel de 4%. Calcule dans les deux cas le capital final, le gain total et la différence.</w:t>
      </w:r>
    </w:p>
    <w:p>
      <w:pPr>
        <w:spacing w:after="80" w:before="80"/>
      </w:pPr>
      <w:r>
        <w:rPr>
          <w:rFonts w:ascii="Times New Roman" w:cs="Times New Roman" w:eastAsia="Times New Roman" w:hAnsi="Times New Roman"/>
          <w:b w:val="false"/>
          <w:bCs w:val="false"/>
          <w:i w:val="false"/>
          <w:iCs w:val="false"/>
          <w:color w:val="1F2937"/>
          <w:sz w:val="22"/>
          <w:szCs w:val="22"/>
        </w:rPr>
        <w:t xml:space="preserve">Méthode :</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Intérêts simples : Capital = C₀ + (C₀ × r × n) = 15 000 + (15 000 × 0,04 × 15)</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Intérêts composés : Capital = C₀ × (1 + r)ⁿ = 15 000 × (1,04)¹⁵</w:t>
      </w:r>
    </w:p>
    <w:p>
      <w:pPr>
        <w:spacing w:after="60" w:before="60"/>
      </w:pPr>
      <w:r>
        <w:t xml:space="preserve"/>
      </w:r>
    </w:p>
    <w:p>
      <w:pPr>
        <w:shd w:fill="F3F4F6" w:color="F3F4F6" w:val="solid"/>
        <w:spacing w:after="100" w:before="100"/>
        <w:ind w:left="288" w:right="288"/>
      </w:pPr>
      <w:r>
        <w:rPr>
          <w:rFonts w:ascii="Times New Roman" w:cs="Times New Roman" w:eastAsia="Times New Roman" w:hAnsi="Times New Roman"/>
          <w:b/>
          <w:bCs/>
          <w:color w:val="1F2937"/>
          <w:sz w:val="22"/>
          <w:szCs w:val="22"/>
        </w:rPr>
        <w:t xml:space="preserve">✅ Corrigé : </w:t>
      </w:r>
      <w:r>
        <w:rPr>
          <w:rFonts w:ascii="Times New Roman" w:cs="Times New Roman" w:eastAsia="Times New Roman" w:hAnsi="Times New Roman"/>
          <w:color w:val="1F2937"/>
          <w:sz w:val="22"/>
          <w:szCs w:val="22"/>
        </w:rPr>
        <w:t xml:space="preserve">Résultats attendus :
• Intérêts simples : 15 000 + 9 000 = 24 000 € (gain : 9 000 €)
• Intérêts composés : 15 000 × 1,8009 = 27 014 € (gain : 12 014 €)
• Différence en faveur des intérêts composés : +3 014 € soit +33% de gain supplémentaire
Leçon : sur 15 ans, la capitalisation génère 1/3 de gains en plus. Sur 30 ans, l'écart sera encore plus spectaculaire.</w:t>
      </w:r>
    </w:p>
    <w:p>
      <w:pPr>
        <w:pStyle w:val="Heading3"/>
        <w:spacing w:after="80" w:before="200"/>
      </w:pPr>
      <w:r>
        <w:rPr>
          <w:rFonts w:ascii="Times New Roman" w:cs="Times New Roman" w:eastAsia="Times New Roman" w:hAnsi="Times New Roman"/>
          <w:b/>
          <w:bCs/>
          <w:color w:val="1F2937"/>
          <w:sz w:val="26"/>
          <w:szCs w:val="26"/>
        </w:rPr>
        <w:t xml:space="preserve">Exercice 2 — Appliquer la règle des 72</w:t>
      </w:r>
    </w:p>
    <w:p>
      <w:pPr>
        <w:spacing w:after="80" w:before="80"/>
      </w:pPr>
      <w:r>
        <w:rPr>
          <w:rFonts w:ascii="Times New Roman" w:cs="Times New Roman" w:eastAsia="Times New Roman" w:hAnsi="Times New Roman"/>
          <w:b w:val="false"/>
          <w:bCs w:val="false"/>
          <w:i w:val="false"/>
          <w:iCs w:val="false"/>
          <w:color w:val="1F2937"/>
          <w:sz w:val="22"/>
          <w:szCs w:val="22"/>
        </w:rPr>
        <w:t xml:space="preserve">Pour chacun des scénarios suivants, estime :</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a) Le nombre d'années pour doubler le capital</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b) Si l'horizon de 7-8 ans permet d'atteindre cet objectif</w:t>
      </w:r>
    </w:p>
    <w:p>
      <w:pPr>
        <w:spacing w:after="80" w:before="80"/>
      </w:pPr>
      <w:r>
        <w:rPr>
          <w:rFonts w:ascii="Times New Roman" w:cs="Times New Roman" w:eastAsia="Times New Roman" w:hAnsi="Times New Roman"/>
          <w:b w:val="false"/>
          <w:bCs w:val="false"/>
          <w:i w:val="false"/>
          <w:iCs w:val="false"/>
          <w:color w:val="1F2937"/>
          <w:sz w:val="22"/>
          <w:szCs w:val="22"/>
        </w:rPr>
        <w:t xml:space="preserve">Scénarios :</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Fonds euros assurance-vie : taux moyen estimé 3%/an (hors fiscalité)</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Portefeuille diversifié actions Europe : taux historique moyen estimé 6%/an (avec risque)</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Livret A : taux actuel 1,5%</w:t>
      </w:r>
    </w:p>
    <w:p>
      <w:pPr>
        <w:spacing w:after="60" w:before="60"/>
      </w:pPr>
      <w:r>
        <w:t xml:space="preserve"/>
      </w:r>
    </w:p>
    <w:p>
      <w:pPr>
        <w:shd w:fill="F3F4F6" w:color="F3F4F6" w:val="solid"/>
        <w:spacing w:after="100" w:before="100"/>
        <w:ind w:left="288" w:right="288"/>
      </w:pPr>
      <w:r>
        <w:rPr>
          <w:rFonts w:ascii="Times New Roman" w:cs="Times New Roman" w:eastAsia="Times New Roman" w:hAnsi="Times New Roman"/>
          <w:b/>
          <w:bCs/>
          <w:color w:val="1F2937"/>
          <w:sz w:val="22"/>
          <w:szCs w:val="22"/>
        </w:rPr>
        <w:t xml:space="preserve">✅ Corrigé : </w:t>
      </w:r>
      <w:r>
        <w:rPr>
          <w:rFonts w:ascii="Times New Roman" w:cs="Times New Roman" w:eastAsia="Times New Roman" w:hAnsi="Times New Roman"/>
          <w:color w:val="1F2937"/>
          <w:sz w:val="22"/>
          <w:szCs w:val="22"/>
        </w:rPr>
        <w:t xml:space="preserve">Résultats attendus :
• Fonds euros à 3% : 72 ÷ 3 = 24 ans — loin de l'horizon 7-8 ans
• Actions Europe à 6% : 72 ÷ 6 = 12 ans — un peu au-delà de l'horizon
• Livret A à 1,5% : 72 ÷ 1,5 = 48 ans — très loin
Conclusion pédagogique : pour espérer doubler un capital en 7-8 ans, il faudrait un taux de ~9% (72 ÷ 8 = 9%). Cela suppose un risque élevé. Un objectif plus réaliste : croissance de +30 à +50% sur 7 ans avec un portefeuille diversifié équilibré.</w:t>
      </w:r>
    </w:p>
    <w:p>
      <w:pPr>
        <w:pStyle w:val="Heading3"/>
        <w:spacing w:after="80" w:before="200"/>
      </w:pPr>
      <w:r>
        <w:rPr>
          <w:rFonts w:ascii="Times New Roman" w:cs="Times New Roman" w:eastAsia="Times New Roman" w:hAnsi="Times New Roman"/>
          <w:b/>
          <w:bCs/>
          <w:color w:val="1F2937"/>
          <w:sz w:val="26"/>
          <w:szCs w:val="26"/>
        </w:rPr>
        <w:t xml:space="preserve">Exercice 3 — Calculer le rendement réel (impact de l'inflation)</w:t>
      </w:r>
    </w:p>
    <w:p>
      <w:pPr>
        <w:spacing w:after="80" w:before="80"/>
      </w:pPr>
      <w:r>
        <w:rPr>
          <w:rFonts w:ascii="Times New Roman" w:cs="Times New Roman" w:eastAsia="Times New Roman" w:hAnsi="Times New Roman"/>
          <w:b w:val="false"/>
          <w:bCs w:val="false"/>
          <w:i w:val="false"/>
          <w:iCs w:val="false"/>
          <w:color w:val="1F2937"/>
          <w:sz w:val="22"/>
          <w:szCs w:val="22"/>
        </w:rPr>
        <w:t xml:space="preserve">Pour chaque placement, calcule le rendement réel. L'inflation annuelle hypothétique est de 2,5%.</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50%"/>
            <w:shd w:fill="1B3A6B" w:color="1B3A6B" w:val="solid"/>
          </w:tcPr>
          <w:p>
            <w:pPr>
              <w:jc w:val="center"/>
            </w:pPr>
            <w:r>
              <w:rPr>
                <w:rFonts w:ascii="Times New Roman" w:cs="Times New Roman" w:eastAsia="Times New Roman" w:hAnsi="Times New Roman"/>
                <w:b/>
                <w:bCs/>
                <w:color w:val="FFFFFF"/>
                <w:sz w:val="20"/>
                <w:szCs w:val="20"/>
              </w:rPr>
              <w:t xml:space="preserve">Placement</w:t>
            </w:r>
          </w:p>
        </w:tc>
        <w:tc>
          <w:tcPr>
            <w:tcW w:type="pct" w:w="50%"/>
            <w:shd w:fill="1B3A6B" w:color="1B3A6B" w:val="solid"/>
          </w:tcPr>
          <w:p>
            <w:pPr>
              <w:jc w:val="center"/>
            </w:pPr>
            <w:r>
              <w:rPr>
                <w:rFonts w:ascii="Times New Roman" w:cs="Times New Roman" w:eastAsia="Times New Roman" w:hAnsi="Times New Roman"/>
                <w:b/>
                <w:bCs/>
                <w:color w:val="FFFFFF"/>
                <w:sz w:val="20"/>
                <w:szCs w:val="20"/>
              </w:rPr>
              <w:t xml:space="preserve">Taux nominal</w:t>
            </w:r>
          </w:p>
        </w:tc>
        <w:tc>
          <w:tcPr>
            <w:tcW w:type="pct" w:w="50%"/>
            <w:shd w:fill="1B3A6B" w:color="1B3A6B" w:val="solid"/>
          </w:tcPr>
          <w:p>
            <w:pPr>
              <w:jc w:val="center"/>
            </w:pPr>
            <w:r>
              <w:rPr>
                <w:rFonts w:ascii="Times New Roman" w:cs="Times New Roman" w:eastAsia="Times New Roman" w:hAnsi="Times New Roman"/>
                <w:b/>
                <w:bCs/>
                <w:color w:val="FFFFFF"/>
                <w:sz w:val="20"/>
                <w:szCs w:val="20"/>
              </w:rPr>
              <w:t xml:space="preserve">Taux réel (−2,5% inflation)</w:t>
            </w:r>
          </w:p>
        </w:tc>
      </w:tr>
      <w:tr>
        <w:tc>
          <w:tcPr>
            <w:shd w:fill="FFFFFF" w:color="FFFFFF" w:val="solid"/>
          </w:tcPr>
          <w:p>
            <w:pPr>
              <w:jc w:val="center"/>
            </w:pPr>
            <w:r>
              <w:rPr>
                <w:rFonts w:ascii="Times New Roman" w:cs="Times New Roman" w:eastAsia="Times New Roman" w:hAnsi="Times New Roman"/>
                <w:color w:val="1F2937"/>
                <w:sz w:val="20"/>
                <w:szCs w:val="20"/>
              </w:rPr>
              <w:t xml:space="preserve">Livret A</w:t>
            </w:r>
          </w:p>
        </w:tc>
        <w:tc>
          <w:tcPr>
            <w:shd w:fill="FFFFFF" w:color="FFFFFF" w:val="solid"/>
          </w:tcPr>
          <w:p>
            <w:pPr>
              <w:jc w:val="center"/>
            </w:pPr>
            <w:r>
              <w:rPr>
                <w:rFonts w:ascii="Times New Roman" w:cs="Times New Roman" w:eastAsia="Times New Roman" w:hAnsi="Times New Roman"/>
                <w:color w:val="1F2937"/>
                <w:sz w:val="20"/>
                <w:szCs w:val="20"/>
              </w:rPr>
              <w:t xml:space="preserve">1,5%</w:t>
            </w:r>
          </w:p>
        </w:tc>
        <w:tc>
          <w:tcPr>
            <w:shd w:fill="FFFFFF" w:color="FFFFFF" w:val="solid"/>
          </w:tcPr>
          <w:p>
            <w:pPr>
              <w:jc w:val="center"/>
            </w:pPr>
            <w:r>
              <w:rPr>
                <w:rFonts w:ascii="Times New Roman" w:cs="Times New Roman" w:eastAsia="Times New Roman" w:hAnsi="Times New Roman"/>
                <w:color w:val="1F2937"/>
                <w:sz w:val="20"/>
                <w:szCs w:val="20"/>
              </w:rPr>
              <w:t xml:space="preserve">À calculer</w:t>
            </w:r>
          </w:p>
        </w:tc>
      </w:tr>
      <w:tr>
        <w:tc>
          <w:tcPr>
            <w:shd w:fill="EEF2F7" w:color="EEF2F7" w:val="solid"/>
          </w:tcPr>
          <w:p>
            <w:pPr>
              <w:jc w:val="center"/>
            </w:pPr>
            <w:r>
              <w:rPr>
                <w:rFonts w:ascii="Times New Roman" w:cs="Times New Roman" w:eastAsia="Times New Roman" w:hAnsi="Times New Roman"/>
                <w:color w:val="1F2937"/>
                <w:sz w:val="20"/>
                <w:szCs w:val="20"/>
              </w:rPr>
              <w:t xml:space="preserve">Fonds euros assurance-vie</w:t>
            </w:r>
          </w:p>
        </w:tc>
        <w:tc>
          <w:tcPr>
            <w:shd w:fill="EEF2F7" w:color="EEF2F7" w:val="solid"/>
          </w:tcPr>
          <w:p>
            <w:pPr>
              <w:jc w:val="center"/>
            </w:pPr>
            <w:r>
              <w:rPr>
                <w:rFonts w:ascii="Times New Roman" w:cs="Times New Roman" w:eastAsia="Times New Roman" w:hAnsi="Times New Roman"/>
                <w:color w:val="1F2937"/>
                <w:sz w:val="20"/>
                <w:szCs w:val="20"/>
              </w:rPr>
              <w:t xml:space="preserve">3,2%</w:t>
            </w:r>
          </w:p>
        </w:tc>
        <w:tc>
          <w:tcPr>
            <w:shd w:fill="EEF2F7" w:color="EEF2F7" w:val="solid"/>
          </w:tcPr>
          <w:p>
            <w:pPr>
              <w:jc w:val="center"/>
            </w:pPr>
            <w:r>
              <w:rPr>
                <w:rFonts w:ascii="Times New Roman" w:cs="Times New Roman" w:eastAsia="Times New Roman" w:hAnsi="Times New Roman"/>
                <w:color w:val="1F2937"/>
                <w:sz w:val="20"/>
                <w:szCs w:val="20"/>
              </w:rPr>
              <w:t xml:space="preserve">À calculer</w:t>
            </w:r>
          </w:p>
        </w:tc>
      </w:tr>
      <w:tr>
        <w:tc>
          <w:tcPr>
            <w:shd w:fill="FFFFFF" w:color="FFFFFF" w:val="solid"/>
          </w:tcPr>
          <w:p>
            <w:pPr>
              <w:jc w:val="center"/>
            </w:pPr>
            <w:r>
              <w:rPr>
                <w:rFonts w:ascii="Times New Roman" w:cs="Times New Roman" w:eastAsia="Times New Roman" w:hAnsi="Times New Roman"/>
                <w:color w:val="1F2937"/>
                <w:sz w:val="20"/>
                <w:szCs w:val="20"/>
              </w:rPr>
              <w:t xml:space="preserve">Obligation d'État (OAT 10 ans)</w:t>
            </w:r>
          </w:p>
        </w:tc>
        <w:tc>
          <w:tcPr>
            <w:shd w:fill="FFFFFF" w:color="FFFFFF" w:val="solid"/>
          </w:tcPr>
          <w:p>
            <w:pPr>
              <w:jc w:val="center"/>
            </w:pPr>
            <w:r>
              <w:rPr>
                <w:rFonts w:ascii="Times New Roman" w:cs="Times New Roman" w:eastAsia="Times New Roman" w:hAnsi="Times New Roman"/>
                <w:color w:val="1F2937"/>
                <w:sz w:val="20"/>
                <w:szCs w:val="20"/>
              </w:rPr>
              <w:t xml:space="preserve">3,8%</w:t>
            </w:r>
          </w:p>
        </w:tc>
        <w:tc>
          <w:tcPr>
            <w:shd w:fill="FFFFFF" w:color="FFFFFF" w:val="solid"/>
          </w:tcPr>
          <w:p>
            <w:pPr>
              <w:jc w:val="center"/>
            </w:pPr>
            <w:r>
              <w:rPr>
                <w:rFonts w:ascii="Times New Roman" w:cs="Times New Roman" w:eastAsia="Times New Roman" w:hAnsi="Times New Roman"/>
                <w:color w:val="1F2937"/>
                <w:sz w:val="20"/>
                <w:szCs w:val="20"/>
              </w:rPr>
              <w:t xml:space="preserve">À calculer</w:t>
            </w:r>
          </w:p>
        </w:tc>
      </w:tr>
      <w:tr>
        <w:tc>
          <w:tcPr>
            <w:shd w:fill="EEF2F7" w:color="EEF2F7" w:val="solid"/>
          </w:tcPr>
          <w:p>
            <w:pPr>
              <w:jc w:val="center"/>
            </w:pPr>
            <w:r>
              <w:rPr>
                <w:rFonts w:ascii="Times New Roman" w:cs="Times New Roman" w:eastAsia="Times New Roman" w:hAnsi="Times New Roman"/>
                <w:color w:val="1F2937"/>
                <w:sz w:val="20"/>
                <w:szCs w:val="20"/>
              </w:rPr>
              <w:t xml:space="preserve">Immobilier locatif (SCPI)</w:t>
            </w:r>
          </w:p>
        </w:tc>
        <w:tc>
          <w:tcPr>
            <w:shd w:fill="EEF2F7" w:color="EEF2F7" w:val="solid"/>
          </w:tcPr>
          <w:p>
            <w:pPr>
              <w:jc w:val="center"/>
            </w:pPr>
            <w:r>
              <w:rPr>
                <w:rFonts w:ascii="Times New Roman" w:cs="Times New Roman" w:eastAsia="Times New Roman" w:hAnsi="Times New Roman"/>
                <w:color w:val="1F2937"/>
                <w:sz w:val="20"/>
                <w:szCs w:val="20"/>
              </w:rPr>
              <w:t xml:space="preserve">5,0%</w:t>
            </w:r>
          </w:p>
        </w:tc>
        <w:tc>
          <w:tcPr>
            <w:shd w:fill="EEF2F7" w:color="EEF2F7" w:val="solid"/>
          </w:tcPr>
          <w:p>
            <w:pPr>
              <w:jc w:val="center"/>
            </w:pPr>
            <w:r>
              <w:rPr>
                <w:rFonts w:ascii="Times New Roman" w:cs="Times New Roman" w:eastAsia="Times New Roman" w:hAnsi="Times New Roman"/>
                <w:color w:val="1F2937"/>
                <w:sz w:val="20"/>
                <w:szCs w:val="20"/>
              </w:rPr>
              <w:t xml:space="preserve">À calculer</w:t>
            </w:r>
          </w:p>
        </w:tc>
      </w:tr>
      <w:tr>
        <w:tc>
          <w:tcPr>
            <w:shd w:fill="FFFFFF" w:color="FFFFFF" w:val="solid"/>
          </w:tcPr>
          <w:p>
            <w:pPr>
              <w:jc w:val="center"/>
            </w:pPr>
            <w:r>
              <w:rPr>
                <w:rFonts w:ascii="Times New Roman" w:cs="Times New Roman" w:eastAsia="Times New Roman" w:hAnsi="Times New Roman"/>
                <w:color w:val="1F2937"/>
                <w:sz w:val="20"/>
                <w:szCs w:val="20"/>
              </w:rPr>
              <w:t xml:space="preserve">Actions (ETF monde)</w:t>
            </w:r>
          </w:p>
        </w:tc>
        <w:tc>
          <w:tcPr>
            <w:shd w:fill="FFFFFF" w:color="FFFFFF" w:val="solid"/>
          </w:tcPr>
          <w:p>
            <w:pPr>
              <w:jc w:val="center"/>
            </w:pPr>
            <w:r>
              <w:rPr>
                <w:rFonts w:ascii="Times New Roman" w:cs="Times New Roman" w:eastAsia="Times New Roman" w:hAnsi="Times New Roman"/>
                <w:color w:val="1F2937"/>
                <w:sz w:val="20"/>
                <w:szCs w:val="20"/>
              </w:rPr>
              <w:t xml:space="preserve">7,0% (estimé)</w:t>
            </w:r>
          </w:p>
        </w:tc>
        <w:tc>
          <w:tcPr>
            <w:shd w:fill="FFFFFF" w:color="FFFFFF" w:val="solid"/>
          </w:tcPr>
          <w:p>
            <w:pPr>
              <w:jc w:val="center"/>
            </w:pPr>
            <w:r>
              <w:rPr>
                <w:rFonts w:ascii="Times New Roman" w:cs="Times New Roman" w:eastAsia="Times New Roman" w:hAnsi="Times New Roman"/>
                <w:color w:val="1F2937"/>
                <w:sz w:val="20"/>
                <w:szCs w:val="20"/>
              </w:rPr>
              <w:t xml:space="preserve">À calculer</w:t>
            </w:r>
          </w:p>
        </w:tc>
      </w:tr>
    </w:tbl>
    <w:p>
      <w:pPr>
        <w:spacing w:after="60" w:before="60"/>
      </w:pPr>
      <w:r>
        <w:t xml:space="preserve"/>
      </w:r>
    </w:p>
    <w:p>
      <w:pPr>
        <w:shd w:fill="F3F4F6" w:color="F3F4F6" w:val="solid"/>
        <w:spacing w:after="100" w:before="100"/>
        <w:ind w:left="288" w:right="288"/>
      </w:pPr>
      <w:r>
        <w:rPr>
          <w:rFonts w:ascii="Times New Roman" w:cs="Times New Roman" w:eastAsia="Times New Roman" w:hAnsi="Times New Roman"/>
          <w:b/>
          <w:bCs/>
          <w:color w:val="1F2937"/>
          <w:sz w:val="22"/>
          <w:szCs w:val="22"/>
        </w:rPr>
        <w:t xml:space="preserve">✅ Corrigé : </w:t>
      </w:r>
      <w:r>
        <w:rPr>
          <w:rFonts w:ascii="Times New Roman" w:cs="Times New Roman" w:eastAsia="Times New Roman" w:hAnsi="Times New Roman"/>
          <w:color w:val="1F2937"/>
          <w:sz w:val="22"/>
          <w:szCs w:val="22"/>
        </w:rPr>
        <w:t xml:space="preserve">Résultats :
• Livret A : 1,5 − 2,5 = −1,0% (perte de pouvoir d'achat)
• Fonds euros : 3,2 − 2,5 = +0,7% (légèrement positif)
• OAT 10 ans : 3,8 − 2,5 = +1,3%
• SCPI : 5,0 − 2,5 = +2,5% (rendement réel décent, mais avec liquidité réduite)
• ETF monde à 7% : 7,0 − 2,5 = +4,5% (meilleur rendement réel, mais volatilité +++)
Leçon : en phase d'inflation à 2-3%, seuls les placements de moyen-haut risque offrent un rendement réel significatif. Ce constat justifie la diversification — et le recours à un CGP/CIF pour l'allocation.</w:t>
      </w:r>
    </w:p>
    <w:p>
      <w:pPr>
        <w:pBdr>
          <w:bottom w:val="single" w:color="1B3A6B" w:sz="6"/>
        </w:pBdr>
        <w:spacing w:after="120" w:before="120"/>
      </w:pPr>
      <w:r>
        <w:t xml:space="preserve"/>
      </w:r>
    </w:p>
    <w:p>
      <w:pPr>
        <w:pStyle w:val="Heading2"/>
        <w:spacing w:after="120" w:before="320"/>
      </w:pPr>
      <w:r>
        <w:rPr>
          <w:rFonts w:ascii="Times New Roman" w:cs="Times New Roman" w:eastAsia="Times New Roman" w:hAnsi="Times New Roman"/>
          <w:b/>
          <w:bCs/>
          <w:color w:val="1B3A6B"/>
          <w:sz w:val="30"/>
          <w:szCs w:val="30"/>
        </w:rPr>
        <w:t xml:space="preserve">🎯 Challenge — Simuler l'effet combiné temps + inflation</w:t>
      </w:r>
    </w:p>
    <w:p>
      <w:pPr>
        <w:spacing w:after="80" w:before="80"/>
      </w:pPr>
      <w:r>
        <w:rPr>
          <w:rFonts w:ascii="Times New Roman" w:cs="Times New Roman" w:eastAsia="Times New Roman" w:hAnsi="Times New Roman"/>
          <w:b w:val="false"/>
          <w:bCs w:val="false"/>
          <w:i w:val="false"/>
          <w:iCs w:val="false"/>
          <w:color w:val="1F2937"/>
          <w:sz w:val="22"/>
          <w:szCs w:val="22"/>
        </w:rPr>
        <w:t xml:space="preserve">Tu places 20 000 € aujourd'hui pendant 8 ans dans deux scénarios. Pour chaque scénario, calcule : (A) le capital nominal final, (B) le capital réel (pouvoir d'achat constant de 2026), en supposant une inflation de 2%/an.</w:t>
      </w:r>
    </w:p>
    <w:p>
      <w:pPr>
        <w:spacing w:after="80" w:before="80"/>
      </w:pPr>
      <w:r>
        <w:rPr>
          <w:rFonts w:ascii="Times New Roman" w:cs="Times New Roman" w:eastAsia="Times New Roman" w:hAnsi="Times New Roman"/>
          <w:b w:val="false"/>
          <w:bCs w:val="false"/>
          <w:i w:val="false"/>
          <w:iCs w:val="false"/>
          <w:color w:val="1F2937"/>
          <w:sz w:val="22"/>
          <w:szCs w:val="22"/>
        </w:rPr>
        <w:t xml:space="preserve">Scénario 1 : Fonds euros à 3%/an</w:t>
      </w:r>
    </w:p>
    <w:p>
      <w:pPr>
        <w:spacing w:after="80" w:before="80"/>
      </w:pPr>
      <w:r>
        <w:rPr>
          <w:rFonts w:ascii="Times New Roman" w:cs="Times New Roman" w:eastAsia="Times New Roman" w:hAnsi="Times New Roman"/>
          <w:b w:val="false"/>
          <w:bCs w:val="false"/>
          <w:i w:val="false"/>
          <w:iCs w:val="false"/>
          <w:color w:val="1F2937"/>
          <w:sz w:val="22"/>
          <w:szCs w:val="22"/>
        </w:rPr>
        <w:t xml:space="preserve">Scénario 2 : Portefeuille diversifié (60% actions / 40% obligations) à 5,5%/an (avec risque)</w:t>
      </w:r>
    </w:p>
    <w:p>
      <w:pPr>
        <w:spacing w:after="80" w:before="80"/>
      </w:pPr>
      <w:r>
        <w:rPr>
          <w:rFonts w:ascii="Times New Roman" w:cs="Times New Roman" w:eastAsia="Times New Roman" w:hAnsi="Times New Roman"/>
          <w:b w:val="false"/>
          <w:bCs w:val="false"/>
          <w:i w:val="false"/>
          <w:iCs w:val="false"/>
          <w:color w:val="1F2937"/>
          <w:sz w:val="22"/>
          <w:szCs w:val="22"/>
        </w:rPr>
        <w:t xml:space="preserve">Formule pour le capital réel : C_réel = C_nominal ÷ (1,02)⁸</w:t>
      </w:r>
    </w:p>
    <w:p>
      <w:pPr>
        <w:spacing w:after="60" w:before="60"/>
      </w:pPr>
      <w:r>
        <w:t xml:space="preserve"/>
      </w:r>
    </w:p>
    <w:p>
      <w:pPr>
        <w:shd w:fill="F3F4F6" w:color="F3F4F6" w:val="solid"/>
        <w:spacing w:after="100" w:before="100"/>
        <w:ind w:left="288" w:right="288"/>
      </w:pPr>
      <w:r>
        <w:rPr>
          <w:rFonts w:ascii="Times New Roman" w:cs="Times New Roman" w:eastAsia="Times New Roman" w:hAnsi="Times New Roman"/>
          <w:b/>
          <w:bCs/>
          <w:color w:val="1F2937"/>
          <w:sz w:val="22"/>
          <w:szCs w:val="22"/>
        </w:rPr>
        <w:t xml:space="preserve">✅ Corrigé détaillé : </w:t>
      </w:r>
      <w:r>
        <w:rPr>
          <w:rFonts w:ascii="Times New Roman" w:cs="Times New Roman" w:eastAsia="Times New Roman" w:hAnsi="Times New Roman"/>
          <w:color w:val="1F2937"/>
          <w:sz w:val="22"/>
          <w:szCs w:val="22"/>
        </w:rPr>
        <w:t xml:space="preserve">Résultats :
Scénario 1 (fonds euros 3%) :
• Capital nominal : 20 000 × (1,03)⁸ = 20 000 × 1,2668 = 25 336 €
• Capital réel : 25 336 ÷ (1,02)⁸ = 25 336 ÷ 1,1717 = 21 623 €
• Gain réel : +1 623 € sur 8 ans (soit +8,1% en pouvoir d'achat)
Scénario 2 (portefeuille 5,5%) :
• Capital nominal : 20 000 × (1,055)⁸ = 20 000 × 1,5347 = 30 693 €
• Capital réel : 30 693 ÷ 1,1717 = 26 197 €
• Gain réel : +6 197 € sur 8 ans (soit +31% en pouvoir d'achat)
Conclusion : la différence de 2,5 points de rendement (3% vs 5,5%) produit 4 fois plus de gain réel sur 8 ans. Ce n'est pas anodin — mais le scénario 2 comporte un risque de perte en capital et des fluctuations intermédiaires importantes. Tout est question d'arbitrage rendement/risque/horizon.</w:t>
      </w:r>
    </w:p>
    <w:p>
      <w:pPr>
        <w:pBdr>
          <w:bottom w:val="single" w:color="1B3A6B" w:sz="6"/>
        </w:pBdr>
        <w:spacing w:after="120" w:before="120"/>
      </w:pPr>
      <w:r>
        <w:t xml:space="preserve"/>
      </w:r>
    </w:p>
    <w:p>
      <w:pPr>
        <w:pStyle w:val="Heading2"/>
        <w:spacing w:after="120" w:before="320"/>
      </w:pPr>
      <w:r>
        <w:rPr>
          <w:rFonts w:ascii="Times New Roman" w:cs="Times New Roman" w:eastAsia="Times New Roman" w:hAnsi="Times New Roman"/>
          <w:b/>
          <w:bCs/>
          <w:color w:val="1B3A6B"/>
          <w:sz w:val="30"/>
          <w:szCs w:val="30"/>
        </w:rPr>
        <w:t xml:space="preserve">🌉 Pont pro (optionnel)</w:t>
      </w:r>
    </w:p>
    <w:p>
      <w:pPr>
        <w:spacing w:after="80" w:before="80"/>
      </w:pPr>
      <w:r>
        <w:rPr>
          <w:rFonts w:ascii="Times New Roman" w:cs="Times New Roman" w:eastAsia="Times New Roman" w:hAnsi="Times New Roman"/>
          <w:b w:val="false"/>
          <w:bCs w:val="false"/>
          <w:i w:val="false"/>
          <w:iCs w:val="false"/>
          <w:color w:val="1F2937"/>
          <w:sz w:val="22"/>
          <w:szCs w:val="22"/>
        </w:rPr>
        <w:t xml:space="preserve">Dans ton métier de chef de service en ESSMS, le mécanisme des intérêts composés a un équivalent institutionnel : l'effet cumulatif des petites améliorations qualité au fil des évaluations HAS. Une amélioration de 3% par an sur un indicateur de bientraitance sur 10 ans produit +34% de progression — vs +30% en intérêts simples. C'est pourquoi les RBPP insistent sur la régularité et la durée, pas sur les efforts ponctuels.</w:t>
      </w:r>
    </w:p>
    <w:p>
      <w:pPr>
        <w:pBdr>
          <w:bottom w:val="single" w:color="1B3A6B" w:sz="6"/>
        </w:pBdr>
        <w:spacing w:after="120" w:before="120"/>
      </w:pPr>
      <w:r>
        <w:t xml:space="preserve"/>
      </w:r>
    </w:p>
    <w:p>
      <w:pPr>
        <w:pStyle w:val="Heading2"/>
        <w:spacing w:after="120" w:before="320"/>
      </w:pPr>
      <w:r>
        <w:rPr>
          <w:rFonts w:ascii="Times New Roman" w:cs="Times New Roman" w:eastAsia="Times New Roman" w:hAnsi="Times New Roman"/>
          <w:b/>
          <w:bCs/>
          <w:color w:val="1B3A6B"/>
          <w:sz w:val="30"/>
          <w:szCs w:val="30"/>
        </w:rPr>
        <w:t xml:space="preserve">📚 Ressources cliquables — Pour approfondir</w:t>
      </w:r>
    </w:p>
    <w:p>
      <w:pPr>
        <w:pStyle w:val="ListParagraph"/>
        <w:numPr>
          <w:ilvl w:val="0"/>
          <w:numId w:val="1"/>
        </w:numPr>
        <w:spacing w:after="60" w:before="60"/>
      </w:pPr>
      <w:hyperlink w:history="1" r:id="rIdqshqac3crjpl5ogx4vuib">
        <w:r>
          <w:rPr>
            <w:rFonts w:ascii="Times New Roman" w:cs="Times New Roman" w:eastAsia="Times New Roman" w:hAnsi="Times New Roman"/>
            <w:color w:val="1155CC"/>
            <w:sz w:val="22"/>
            <w:szCs w:val="22"/>
            <w:u w:val="single"/>
          </w:rPr>
          <w:t xml:space="preserve">La Finance Pour Tous — Comment calcule-t-on le taux d'intérêt réel d'un placement ?</w:t>
        </w:r>
      </w:hyperlink>
    </w:p>
    <w:p>
      <w:pPr>
        <w:pStyle w:val="ListParagraph"/>
        <w:numPr>
          <w:ilvl w:val="0"/>
          <w:numId w:val="1"/>
        </w:numPr>
        <w:spacing w:after="60" w:before="60"/>
      </w:pPr>
      <w:hyperlink w:history="1" r:id="rIdind9fywpzp-ysczcukcs6">
        <w:r>
          <w:rPr>
            <w:rFonts w:ascii="Times New Roman" w:cs="Times New Roman" w:eastAsia="Times New Roman" w:hAnsi="Times New Roman"/>
            <w:color w:val="1155CC"/>
            <w:sz w:val="22"/>
            <w:szCs w:val="22"/>
            <w:u w:val="single"/>
          </w:rPr>
          <w:t xml:space="preserve">La Finance Pour Tous — Calculer le taux de rendement grâce à la règle d'Einstein (règle des 72)</w:t>
        </w:r>
      </w:hyperlink>
    </w:p>
    <w:p>
      <w:pPr>
        <w:pStyle w:val="ListParagraph"/>
        <w:numPr>
          <w:ilvl w:val="0"/>
          <w:numId w:val="1"/>
        </w:numPr>
        <w:spacing w:after="60" w:before="60"/>
      </w:pPr>
      <w:hyperlink w:history="1" r:id="rIdg2ihurm72newreepqx_bv">
        <w:r>
          <w:rPr>
            <w:rFonts w:ascii="Times New Roman" w:cs="Times New Roman" w:eastAsia="Times New Roman" w:hAnsi="Times New Roman"/>
            <w:color w:val="1155CC"/>
            <w:sz w:val="22"/>
            <w:szCs w:val="22"/>
            <w:u w:val="single"/>
          </w:rPr>
          <w:t xml:space="preserve">La Finance Pour Tous — Intérêts simples et intérêts composés (fiche pédagogique)</w:t>
        </w:r>
      </w:hyperlink>
    </w:p>
    <w:p>
      <w:pPr>
        <w:pStyle w:val="ListParagraph"/>
        <w:numPr>
          <w:ilvl w:val="0"/>
          <w:numId w:val="1"/>
        </w:numPr>
        <w:spacing w:after="60" w:before="60"/>
      </w:pPr>
      <w:hyperlink w:history="1" r:id="rIdtscp9u51s_jh0wpm9p0en">
        <w:r>
          <w:rPr>
            <w:rFonts w:ascii="Times New Roman" w:cs="Times New Roman" w:eastAsia="Times New Roman" w:hAnsi="Times New Roman"/>
            <w:color w:val="1155CC"/>
            <w:sz w:val="22"/>
            <w:szCs w:val="22"/>
            <w:u w:val="single"/>
          </w:rPr>
          <w:t xml:space="preserve">La Finance Pour Tous — Comprendre l'inflation</w:t>
        </w:r>
      </w:hyperlink>
    </w:p>
    <w:p>
      <w:pPr>
        <w:pStyle w:val="ListParagraph"/>
        <w:numPr>
          <w:ilvl w:val="0"/>
          <w:numId w:val="1"/>
        </w:numPr>
        <w:spacing w:after="60" w:before="60"/>
      </w:pPr>
      <w:hyperlink w:history="1" r:id="rIda2n-fqb9cl5sz8tz7duvu">
        <w:r>
          <w:rPr>
            <w:rFonts w:ascii="Times New Roman" w:cs="Times New Roman" w:eastAsia="Times New Roman" w:hAnsi="Times New Roman"/>
            <w:color w:val="1155CC"/>
            <w:sz w:val="22"/>
            <w:szCs w:val="22"/>
            <w:u w:val="single"/>
          </w:rPr>
          <w:t xml:space="preserve">La Finance Pour Tous — Épargne : mon Livret A me protège-t-il de l'inflation ?</w:t>
        </w:r>
      </w:hyperlink>
    </w:p>
    <w:p>
      <w:pPr>
        <w:pStyle w:val="ListParagraph"/>
        <w:numPr>
          <w:ilvl w:val="0"/>
          <w:numId w:val="1"/>
        </w:numPr>
        <w:spacing w:after="60" w:before="60"/>
      </w:pPr>
      <w:hyperlink w:history="1" r:id="rId8-ajxe2sca6uzw6nt_ks3">
        <w:r>
          <w:rPr>
            <w:rFonts w:ascii="Times New Roman" w:cs="Times New Roman" w:eastAsia="Times New Roman" w:hAnsi="Times New Roman"/>
            <w:color w:val="1155CC"/>
            <w:sz w:val="22"/>
            <w:szCs w:val="22"/>
            <w:u w:val="single"/>
          </w:rPr>
          <w:t xml:space="preserve">La Finance Pour Tous — Calculateur d'épargne (outil en ligne)</w:t>
        </w:r>
      </w:hyperlink>
    </w:p>
    <w:p>
      <w:pPr>
        <w:spacing w:after="60" w:before="60"/>
      </w:pPr>
      <w:r>
        <w:t xml:space="preserve"/>
      </w:r>
    </w:p>
    <w:p>
      <w:pPr>
        <w:spacing w:after="80" w:before="80"/>
      </w:pPr>
      <w:r>
        <w:rPr>
          <w:rFonts w:ascii="Times New Roman" w:cs="Times New Roman" w:eastAsia="Times New Roman" w:hAnsi="Times New Roman"/>
          <w:b w:val="false"/>
          <w:bCs w:val="false"/>
          <w:i/>
          <w:iCs/>
          <w:color w:val="1F2937"/>
          <w:sz w:val="22"/>
          <w:szCs w:val="22"/>
        </w:rPr>
        <w:t xml:space="preserve">⛔ Sources inaccessibles en mode headless ce jour :</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abe-infoservice.fr → 403</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economie.gouv.fr/particuliers/epargne → 403</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service-public.fr/N20096 → 404</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amf-france.org/connaitre-les-produits-financiers → 404</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lafinancepourtous.com/interets-composes → 404 (page déplacée, fiche pédagogique récupérée à la place)</w:t>
      </w:r>
    </w:p>
    <w:p>
      <w:pPr>
        <w:pBdr>
          <w:bottom w:val="single" w:color="1B3A6B" w:sz="6"/>
        </w:pBdr>
        <w:spacing w:after="120" w:before="120"/>
      </w:pPr>
      <w:r>
        <w:t xml:space="preserve"/>
      </w:r>
    </w:p>
    <w:p>
      <w:pPr>
        <w:pStyle w:val="Heading2"/>
        <w:spacing w:after="120" w:before="320"/>
      </w:pPr>
      <w:r>
        <w:rPr>
          <w:rFonts w:ascii="Times New Roman" w:cs="Times New Roman" w:eastAsia="Times New Roman" w:hAnsi="Times New Roman"/>
          <w:b/>
          <w:bCs/>
          <w:color w:val="1B3A6B"/>
          <w:sz w:val="30"/>
          <w:szCs w:val="30"/>
        </w:rPr>
        <w:t xml:space="preserve">👤 Pour aller plus loin avec un CGP / CIF agréé</w:t>
      </w:r>
    </w:p>
    <w:p>
      <w:pPr>
        <w:spacing w:after="80" w:before="80"/>
      </w:pPr>
      <w:r>
        <w:rPr>
          <w:rFonts w:ascii="Times New Roman" w:cs="Times New Roman" w:eastAsia="Times New Roman" w:hAnsi="Times New Roman"/>
          <w:b w:val="false"/>
          <w:bCs w:val="false"/>
          <w:i w:val="false"/>
          <w:iCs w:val="false"/>
          <w:color w:val="1F2937"/>
          <w:sz w:val="22"/>
          <w:szCs w:val="22"/>
        </w:rPr>
        <w:t xml:space="preserve">Questions concrètes à poser lors de ton prochain rendez-vous :</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 Sur mon horizon de 7-8 ans, quel taux de rendement réel (après inflation et frais) puis-je raisonnablement espérer avec un profil de risque modéré ? »</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 Comment l'inflation prévue dans les 5 prochaines années affecte-t-elle le choix entre fonds euros (capital garanti) et unités de compte ? »</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 Pour atteindre un objectif de +X€ de gain réel à mon horizon, quel capital de départ ou quel effort d'épargne mensuel me conseillez-vous ? » (simulation neutre, sans recommandation de produit précis)</w:t>
      </w:r>
    </w:p>
    <w:p>
      <w:pPr>
        <w:pBdr>
          <w:bottom w:val="single" w:color="1B3A6B" w:sz="6"/>
        </w:pBdr>
        <w:spacing w:after="120" w:before="120"/>
      </w:pPr>
      <w:r>
        <w:t xml:space="preserve"/>
      </w:r>
    </w:p>
    <w:p>
      <w:pPr>
        <w:pStyle w:val="Heading2"/>
        <w:spacing w:after="120" w:before="320"/>
      </w:pPr>
      <w:r>
        <w:rPr>
          <w:rFonts w:ascii="Times New Roman" w:cs="Times New Roman" w:eastAsia="Times New Roman" w:hAnsi="Times New Roman"/>
          <w:b/>
          <w:bCs/>
          <w:color w:val="1B3A6B"/>
          <w:sz w:val="30"/>
          <w:szCs w:val="30"/>
        </w:rPr>
        <w:t xml:space="preserve">🔜 Prochaine leçon</w:t>
      </w:r>
    </w:p>
    <w:p>
      <w:pPr>
        <w:spacing w:after="80" w:before="80"/>
      </w:pPr>
      <w:r>
        <w:rPr>
          <w:rFonts w:ascii="Times New Roman" w:cs="Times New Roman" w:eastAsia="Times New Roman" w:hAnsi="Times New Roman"/>
          <w:b/>
          <w:bCs/>
          <w:color w:val="1B3A6B"/>
          <w:sz w:val="22"/>
          <w:szCs w:val="22"/>
        </w:rPr>
        <w:t xml:space="preserve">Leçon 05 — Les enveloppes françaises : </w:t>
      </w:r>
      <w:r>
        <w:rPr>
          <w:rFonts w:ascii="Times New Roman" w:cs="Times New Roman" w:eastAsia="Times New Roman" w:hAnsi="Times New Roman"/>
          <w:color w:val="1F2937"/>
          <w:sz w:val="22"/>
          <w:szCs w:val="22"/>
        </w:rPr>
        <w:t xml:space="preserve">livrets réglementés, fonds en euros, assurance-vie, PEA, PER, compte-titres. Comprendre les caractéristiques de chaque « contenant » avant de choisir quoi y mettre.</w:t>
      </w:r>
      <w:r>
        <w:rPr>
          <w:rFonts w:ascii="Times New Roman" w:cs="Times New Roman" w:eastAsia="Times New Roman" w:hAnsi="Times New Roman"/>
          <w:i/>
          <w:iCs/>
          <w:color w:val="6B7280"/>
          <w:sz w:val="20"/>
          <w:szCs w:val="20"/>
        </w:rPr>
        <w:t xml:space="preserve"> Thèmes annoncés : enveloppes françaises, livrets réglementés, fonds en euros, assurance-vie, PEA, PER, compte-titres. [Ajouté le 26/09/2026 : cette ligne nomme, dans les termes de cette section même, ce que la leçon suivante devra traiter ou déclarer non traité. Elle est la condition du contrôle de continuité ajouté ce jour au prompt : sans elle, la leçon suivante ne peut pas être contrôlée sur ce qu'on lui a promis — c'est ce qui est arrivé entre la n°15 et la n°16.]</w:t>
      </w:r>
    </w:p>
    <w:sectPr>
      <w:pgSz w:w="11906" w:h="16838" w:orient="portrait"/>
      <w:pgMar w:top="1440" w:right="1727" w:bottom="1440" w:left="172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1F293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qshqac3crjpl5ogx4vuib" Type="http://schemas.openxmlformats.org/officeDocument/2006/relationships/hyperlink" Target="https://www.lafinancepourtous.com/outils/questions-reponses/comment-calcule-t-on-le-taux-dinteret-reel-dun-placement/" TargetMode="External"/><Relationship Id="rIdind9fywpzp-ysczcukcs6" Type="http://schemas.openxmlformats.org/officeDocument/2006/relationships/hyperlink" Target="https://www.lafinancepourtous.com/decryptages/finance-perso/epargne-et-placement/calculer-le-taux-de-rendement-d-un-placement-grace-a-la-regle-d-einstein/" TargetMode="External"/><Relationship Id="rIdg2ihurm72newreepqx_bv" Type="http://schemas.openxmlformats.org/officeDocument/2006/relationships/hyperlink" Target="https://www.lafinancepourtous.com/enseignants/mathematiques/lycee-2nde-1ere-tle/interets-simples-et-interets-composes/" TargetMode="External"/><Relationship Id="rIdtscp9u51s_jh0wpm9p0en" Type="http://schemas.openxmlformats.org/officeDocument/2006/relationships/hyperlink" Target="https://www.lafinancepourtous.com/decryptages/politiques-economiques/theories-economiques/inflation/" TargetMode="External"/><Relationship Id="rIda2n-fqb9cl5sz8tz7duvu" Type="http://schemas.openxmlformats.org/officeDocument/2006/relationships/hyperlink" Target="https://www.lafinancepourtous.com/outils/questions-reponses/epargne-mon-livret-a-me-protege-t-il-de-linflation/" TargetMode="External"/><Relationship Id="rId8-ajxe2sca6uzw6nt_ks3" Type="http://schemas.openxmlformats.org/officeDocument/2006/relationships/hyperlink" Target="https://www.lafinancepourtous.com/outils/calculateurs/calculateur-d-epargne/" TargetMode="External"/><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Leçon Placement financier n°04 — Intérêts composés, inflation et rendement réel</dc:title>
  <dc:creator>Claude — Leçon Placement financier</dc:creator>
  <dc:description>Parcours d'éducation financière personnelle — module fondamental</dc:description>
  <cp:lastModifiedBy>Un-named</cp:lastModifiedBy>
  <cp:revision>1</cp:revision>
  <dcterms:created xsi:type="dcterms:W3CDTF">2026-07-04T06:08:01.296Z</dcterms:created>
  <dcterms:modified xsi:type="dcterms:W3CDTF">2026-07-04T06:08:01.367Z</dcterms:modified>
</cp:coreProperties>
</file>

<file path=docProps/custom.xml><?xml version="1.0" encoding="utf-8"?>
<Properties xmlns="http://schemas.openxmlformats.org/officeDocument/2006/custom-properties" xmlns:vt="http://schemas.openxmlformats.org/officeDocument/2006/docPropsVTypes"/>
</file>