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Placement financier n°05 — Les enveloppes françaises</w:t>
      </w:r>
    </w:p>
    <w:p>
      <w:pPr>
        <w:spacing w:after="240"/>
        <w:jc w:val="center"/>
      </w:pPr>
      <w:r>
        <w:rPr>
          <w:rFonts w:ascii="Times New Roman" w:cs="Times New Roman" w:eastAsia="Times New Roman" w:hAnsi="Times New Roman"/>
          <w:b w:val="false"/>
          <w:bCs w:val="false"/>
          <w:i/>
          <w:iCs/>
          <w:color w:val="1B3A6B"/>
          <w:sz w:val="22"/>
          <w:szCs w:val="22"/>
        </w:rPr>
        <w:t xml:space="preserve">11 juillet 2026 · Module Fondamental — leçon 05 · Éducation financière (sans conseil personnalisé)</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distinguer les grandes enveloppes d'épargne françaises — livrets réglementés, assurance-vie, PEA, PER, compte-titres — et comprendre la logique de chacune (à quoi elle sert, ses atouts fiscaux, ses contraintes). Objectif : savoir DANS QUOI on peut loger un placement, avant de parler du placement lui-même.</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la leçon n°04 a posé les intérêts composés, l'inflation et le rendement réel — le « moteur » du temps. Cette leçon installe le « contenant » : une même somme placée sur les mêmes actifs n'a pas le même résultat net selon l'enveloppe qui l'abrite, à cause de la fiscalité et des règles de retrait.</w:t>
      </w:r>
    </w:p>
    <w:p>
      <w:pPr>
        <w:spacing w:after="120" w:before="260"/>
      </w:pPr>
      <w:r>
        <w:rPr>
          <w:rFonts w:ascii="Times New Roman" w:cs="Times New Roman" w:eastAsia="Times New Roman" w:hAnsi="Times New Roman"/>
          <w:b/>
          <w:bCs/>
          <w:i w:val="false"/>
          <w:iCs w:val="false"/>
          <w:color w:val="1B3A6B"/>
          <w:sz w:val="30"/>
          <w:szCs w:val="30"/>
        </w:rPr>
        <w:t xml:space="preserve">⚖️ Rappel</w:t>
      </w:r>
    </w:p>
    <w:p>
      <w:pPr>
        <w:spacing w:after="120"/>
      </w:pPr>
      <w:r>
        <w:rPr>
          <w:rFonts w:ascii="Times New Roman" w:cs="Times New Roman" w:eastAsia="Times New Roman" w:hAnsi="Times New Roman"/>
          <w:b/>
          <w:bCs/>
          <w:i w:val="false"/>
          <w:iCs w:val="false"/>
          <w:color w:val="1F2937"/>
          <w:sz w:val="22"/>
          <w:szCs w:val="22"/>
        </w:rPr>
        <w:t xml:space="preserve">Cette leçon relève de l'</w:t>
      </w:r>
      <w:r>
        <w:rPr>
          <w:rFonts w:ascii="Times New Roman" w:cs="Times New Roman" w:eastAsia="Times New Roman" w:hAnsi="Times New Roman"/>
          <w:b/>
          <w:bCs/>
          <w:i w:val="false"/>
          <w:iCs w:val="false"/>
          <w:color w:val="1F2937"/>
          <w:sz w:val="22"/>
          <w:szCs w:val="22"/>
        </w:rPr>
        <w:t xml:space="preserve">éducation financière générale</w:t>
      </w:r>
      <w:r>
        <w:rPr>
          <w:rFonts w:ascii="Times New Roman" w:cs="Times New Roman" w:eastAsia="Times New Roman" w:hAnsi="Times New Roman"/>
          <w:b w:val="false"/>
          <w:bCs w:val="false"/>
          <w:i w:val="false"/>
          <w:iCs w:val="false"/>
          <w:color w:val="1F2937"/>
          <w:sz w:val="22"/>
          <w:szCs w:val="22"/>
        </w:rPr>
        <w:t xml:space="preserve"> et ne constitue en aucun cas un conseil en investissement personnalisé. Elle ne recommande aucun produit ni aucune allocation. Tout placement comporte un </w:t>
      </w:r>
      <w:r>
        <w:rPr>
          <w:rFonts w:ascii="Times New Roman" w:cs="Times New Roman" w:eastAsia="Times New Roman" w:hAnsi="Times New Roman"/>
          <w:b/>
          <w:bCs/>
          <w:i w:val="false"/>
          <w:iCs w:val="false"/>
          <w:color w:val="1F2937"/>
          <w:sz w:val="22"/>
          <w:szCs w:val="22"/>
        </w:rPr>
        <w:t xml:space="preserve">risque de perte en capital</w:t>
      </w:r>
      <w:r>
        <w:rPr>
          <w:rFonts w:ascii="Times New Roman" w:cs="Times New Roman" w:eastAsia="Times New Roman" w:hAnsi="Times New Roman"/>
          <w:b w:val="false"/>
          <w:bCs w:val="false"/>
          <w:i w:val="false"/>
          <w:iCs w:val="false"/>
          <w:color w:val="1F2937"/>
          <w:sz w:val="22"/>
          <w:szCs w:val="22"/>
        </w:rPr>
        <w:t xml:space="preserve"> (hors livrets réglementés garantis). Pour toute décision, rapproche-toi d'un conseiller en gestion de patrimoine (CGP) ou d'un conseiller en investissements financiers (CIF) agréé.</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before="160"/>
      </w:pPr>
      <w:r>
        <w:rPr>
          <w:rFonts w:ascii="Times New Roman" w:cs="Times New Roman" w:eastAsia="Times New Roman" w:hAnsi="Times New Roman"/>
          <w:b/>
          <w:bCs/>
          <w:i w:val="false"/>
          <w:iCs w:val="false"/>
          <w:color w:val="1F2937"/>
          <w:sz w:val="26"/>
          <w:szCs w:val="26"/>
        </w:rPr>
        <w:t xml:space="preserve">Une enveloppe, ce n'est pas un placement</w:t>
      </w:r>
    </w:p>
    <w:p>
      <w:pPr>
        <w:spacing w:after="120"/>
      </w:pPr>
      <w:r>
        <w:rPr>
          <w:rFonts w:ascii="Times New Roman" w:cs="Times New Roman" w:eastAsia="Times New Roman" w:hAnsi="Times New Roman"/>
          <w:b w:val="false"/>
          <w:bCs w:val="false"/>
          <w:i w:val="false"/>
          <w:iCs w:val="false"/>
          <w:color w:val="1F2937"/>
          <w:sz w:val="22"/>
          <w:szCs w:val="22"/>
        </w:rPr>
        <w:t xml:space="preserve">Erreur classique : croire que « l'assurance-vie » ou « le PEA » est un placement. Non : c'est un contenant fiscal et juridique. À l'intérieur, tu choisis des supports (fonds euros, actions, fonds…). L'enveloppe détermine surtout deux choses : comment tes gains sont imposés, et à quelles conditions tu peux récupérer ton argent.</w:t>
      </w:r>
    </w:p>
    <w:p>
      <w:pPr>
        <w:spacing w:after="80" w:before="160"/>
      </w:pPr>
      <w:r>
        <w:rPr>
          <w:rFonts w:ascii="Times New Roman" w:cs="Times New Roman" w:eastAsia="Times New Roman" w:hAnsi="Times New Roman"/>
          <w:b/>
          <w:bCs/>
          <w:i w:val="false"/>
          <w:iCs w:val="false"/>
          <w:color w:val="1F2937"/>
          <w:sz w:val="26"/>
          <w:szCs w:val="26"/>
        </w:rPr>
        <w:t xml:space="preserve">Les principales enveloppes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Livrets réglementés (Livret A, LDDS, LEP) : </w:t>
      </w:r>
      <w:r>
        <w:rPr>
          <w:rFonts w:ascii="Times New Roman" w:cs="Times New Roman" w:eastAsia="Times New Roman" w:hAnsi="Times New Roman"/>
          <w:b w:val="false"/>
          <w:bCs w:val="false"/>
          <w:i w:val="false"/>
          <w:iCs w:val="false"/>
          <w:color w:val="1F2937"/>
          <w:sz w:val="22"/>
          <w:szCs w:val="22"/>
        </w:rPr>
        <w:t xml:space="preserve">capital garanti, disponible à tout moment, intérêts totalement exonérés d'impôt et de prélèvements sociaux — mais plafonnés et à rendement modeste. C'est l'épargne de précaution, pas un placement de rendement.</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Assurance-vie : </w:t>
      </w:r>
      <w:r>
        <w:rPr>
          <w:rFonts w:ascii="Times New Roman" w:cs="Times New Roman" w:eastAsia="Times New Roman" w:hAnsi="Times New Roman"/>
          <w:b w:val="false"/>
          <w:bCs w:val="false"/>
          <w:i w:val="false"/>
          <w:iCs w:val="false"/>
          <w:color w:val="1F2937"/>
          <w:sz w:val="22"/>
          <w:szCs w:val="22"/>
        </w:rPr>
        <w:t xml:space="preserve">l'enveloppe « couteau suisse ». On y loge un fonds en euros (capital garanti, rendement faible) et/ou des unités de compte (potentiel supérieur, risque de perte). Fiscalité allégée sur les gains après 8 ans de détention, et cadre successoral avantageux via la clause bénéficiaire. Prélèvements sociaux de 17,2 % sur les gains.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PEA (Plan d'Épargne en Actions) : </w:t>
      </w:r>
      <w:r>
        <w:rPr>
          <w:rFonts w:ascii="Times New Roman" w:cs="Times New Roman" w:eastAsia="Times New Roman" w:hAnsi="Times New Roman"/>
          <w:b w:val="false"/>
          <w:bCs w:val="false"/>
          <w:i w:val="false"/>
          <w:iCs w:val="false"/>
          <w:color w:val="1F2937"/>
          <w:sz w:val="22"/>
          <w:szCs w:val="22"/>
        </w:rPr>
        <w:t xml:space="preserve">dédié aux actions européennes et fonds éligibles. Tant qu'aucun retrait n'est fait, dividendes et plus-values échappent à l'impôt sur le revenu ; après 5 ans, les gains ne supportent que les prélèvements sociaux. Contrepartie : univers d'investissement restreint et risque actions.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PER (Plan d'Épargne Retraite) : </w:t>
      </w:r>
      <w:r>
        <w:rPr>
          <w:rFonts w:ascii="Times New Roman" w:cs="Times New Roman" w:eastAsia="Times New Roman" w:hAnsi="Times New Roman"/>
          <w:b w:val="false"/>
          <w:bCs w:val="false"/>
          <w:i w:val="false"/>
          <w:iCs w:val="false"/>
          <w:color w:val="1F2937"/>
          <w:sz w:val="22"/>
          <w:szCs w:val="22"/>
        </w:rPr>
        <w:t xml:space="preserve">conçu pour préparer la retraite. Les versements volontaires peuvent être déduits du revenu imposable (avantage à l'entrée), en échange d'une épargne bloquée jusqu'à la retraite (sauf cas de déblocage anticipé), et imposée à la sortie. Sortie possible en capital ou en rente.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Compte-titres ordinaire (CTO) : </w:t>
      </w:r>
      <w:r>
        <w:rPr>
          <w:rFonts w:ascii="Times New Roman" w:cs="Times New Roman" w:eastAsia="Times New Roman" w:hAnsi="Times New Roman"/>
          <w:b w:val="false"/>
          <w:bCs w:val="false"/>
          <w:i w:val="false"/>
          <w:iCs w:val="false"/>
          <w:color w:val="1F2937"/>
          <w:sz w:val="22"/>
          <w:szCs w:val="22"/>
        </w:rPr>
        <w:t xml:space="preserve">le plus souple (tous marchés, tous produits, aucun plafond), mais sans avantage fiscal : les gains sont imposés au prélèvement forfaitaire unique (« flat tax »).</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Les intérêts perçus [sur les livrets réglementés] sont totalement exonérés d'impôt et de prélèvements sociaux, mais les dépôts sont en général plafonnés.</w:t>
      </w:r>
      <w:r>
        <w:rPr>
          <w:rFonts w:ascii="Times New Roman" w:cs="Times New Roman" w:eastAsia="Times New Roman" w:hAnsi="Times New Roman"/>
          <w:b w:val="false"/>
          <w:bCs w:val="false"/>
          <w:i/>
          <w:iCs/>
          <w:color w:val="1B3A6B"/>
          <w:sz w:val="20"/>
          <w:szCs w:val="20"/>
        </w:rPr>
        <w:t xml:space="preserve">  — La finance pour tous (IEFP)</w:t>
      </w:r>
    </w:p>
    <w:p>
      <w:pPr>
        <w:spacing w:after="120"/>
      </w:pPr>
      <w:r>
        <w:rPr>
          <w:rFonts w:ascii="Times New Roman" w:cs="Times New Roman" w:eastAsia="Times New Roman" w:hAnsi="Times New Roman"/>
          <w:b/>
          <w:bCs/>
          <w:i w:val="false"/>
          <w:iCs w:val="false"/>
          <w:color w:val="1F2937"/>
          <w:sz w:val="22"/>
          <w:szCs w:val="22"/>
        </w:rPr>
        <w:t xml:space="preserve">Point d'attention lié à un horizon moyen terme (~7-8 ans) : </w:t>
      </w:r>
      <w:r>
        <w:rPr>
          <w:rFonts w:ascii="Times New Roman" w:cs="Times New Roman" w:eastAsia="Times New Roman" w:hAnsi="Times New Roman"/>
          <w:b w:val="false"/>
          <w:bCs w:val="false"/>
          <w:i w:val="false"/>
          <w:iCs w:val="false"/>
          <w:color w:val="1F2937"/>
          <w:sz w:val="22"/>
          <w:szCs w:val="22"/>
        </w:rPr>
        <w:t xml:space="preserve">certaines enveloppes récompensent la durée (assurance-vie à 8 ans, PEA à 5 ans) et d'autres bloquent l'épargne (PER jusqu'à la retraite). L'horizon et le besoin de disponibilité conditionnent donc le choix de l'enveloppe — c'est un critère de méthode, pas une recommandation.</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Compréhension active : la carte des enveloppes</w:t>
      </w:r>
    </w:p>
    <w:p>
      <w:pPr>
        <w:spacing w:after="120"/>
      </w:pPr>
      <w:r>
        <w:rPr>
          <w:rFonts w:ascii="Times New Roman" w:cs="Times New Roman" w:eastAsia="Times New Roman" w:hAnsi="Times New Roman"/>
          <w:b w:val="false"/>
          <w:bCs w:val="false"/>
          <w:i w:val="false"/>
          <w:iCs w:val="false"/>
          <w:color w:val="1F2937"/>
          <w:sz w:val="22"/>
          <w:szCs w:val="22"/>
        </w:rPr>
        <w:t xml:space="preserve">Sur une feuille, dresse un tableau à 4 colonnes : Enveloppe / À quoi elle sert / Atout principal / Contrainte principale. Remplis-le pour les 5 enveloppes ci-dessus, avec tes propres mots. Tu obtiens une carte mentale réutilisable. Vérifie ensuite chaque ligne sur « La finance pour tous ».</w:t>
      </w:r>
    </w:p>
    <w:p>
      <w:pPr>
        <w:spacing w:after="80" w:before="160"/>
      </w:pPr>
      <w:r>
        <w:rPr>
          <w:rFonts w:ascii="Times New Roman" w:cs="Times New Roman" w:eastAsia="Times New Roman" w:hAnsi="Times New Roman"/>
          <w:b/>
          <w:bCs/>
          <w:i w:val="false"/>
          <w:iCs w:val="false"/>
          <w:color w:val="1F2937"/>
          <w:sz w:val="26"/>
          <w:szCs w:val="26"/>
        </w:rPr>
        <w:t xml:space="preserve">Exercice 2 — Contenant vs contenu</w:t>
      </w:r>
    </w:p>
    <w:p>
      <w:pPr>
        <w:spacing w:after="120"/>
      </w:pPr>
      <w:r>
        <w:rPr>
          <w:rFonts w:ascii="Times New Roman" w:cs="Times New Roman" w:eastAsia="Times New Roman" w:hAnsi="Times New Roman"/>
          <w:b w:val="false"/>
          <w:bCs w:val="false"/>
          <w:i w:val="false"/>
          <w:iCs w:val="false"/>
          <w:color w:val="1F2937"/>
          <w:sz w:val="22"/>
          <w:szCs w:val="22"/>
        </w:rPr>
        <w:t xml:space="preserve">Prends trois « contenus » (un fonds euros garanti, un fonds d'actions internationales, un livret) et, pour chacun, note dans quelle(s) enveloppe(s) il peut loger. Constat clé à formuler toi-même : un même actif peut vivre dans plusieurs enveloppes, et c'est l'enveloppe qui change la fiscalité — pas l'actif.</w:t>
      </w:r>
    </w:p>
    <w:p>
      <w:pPr>
        <w:spacing w:after="80" w:before="160"/>
      </w:pPr>
      <w:r>
        <w:rPr>
          <w:rFonts w:ascii="Times New Roman" w:cs="Times New Roman" w:eastAsia="Times New Roman" w:hAnsi="Times New Roman"/>
          <w:b/>
          <w:bCs/>
          <w:i w:val="false"/>
          <w:iCs w:val="false"/>
          <w:color w:val="1F2937"/>
          <w:sz w:val="26"/>
          <w:szCs w:val="26"/>
        </w:rPr>
        <w:t xml:space="preserve">Exercice 3 — Lecture critique d'une caractéristique fiscale</w:t>
      </w:r>
    </w:p>
    <w:p>
      <w:pPr>
        <w:spacing w:after="120"/>
      </w:pPr>
      <w:r>
        <w:rPr>
          <w:rFonts w:ascii="Times New Roman" w:cs="Times New Roman" w:eastAsia="Times New Roman" w:hAnsi="Times New Roman"/>
          <w:b w:val="false"/>
          <w:bCs w:val="false"/>
          <w:i w:val="false"/>
          <w:iCs w:val="false"/>
          <w:color w:val="1F2937"/>
          <w:sz w:val="22"/>
          <w:szCs w:val="22"/>
        </w:rPr>
        <w:t xml:space="preserve">Choisis UNE affirmation fiscale de la leçon (ex. « l'assurance-vie est avantageuse après 8 ans »). Va la vérifier sur une source officielle (La finance pour tous, service-public.fr, impots.gouv.fr) et réécris-la précisément, avec la condition exacte et l'année de référence. Objectif : prendre l'habitude de sourcer une règle fiscale plutôt que de la retenir « en gros ».</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 La bonne enveloppe pour le bon besoin. » Liste 4 besoins génériques : (a) garder de l'argent disponible pour un imprévu, (b) faire fructifier sur ~7-8 ans avec une part de risque maîtrisée, (c) préparer un complément de retraite avec avantage fiscal à l'entrée, (d) transmettre dans un cadre favorable. Associe à chacun l'enveloppe la plus cohérente ET justifie en une phrase. Rappelle-toi : c'est un exercice de raisonnement, pas une décision — la décision se prend avec un professionnel agréé.</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La distinction contenant/contenu est transposable à la gestion : une même dépense « produit » le même service, mais sa « ligne budgétaire » (l'enveloppe) change son traitement (CPOM, sections tarifaires SERAFIN-PH). Savoir dans quelle enveloppe loger une charge est aussi structurant côté finances d'établissement que côté épargne personnelle.</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mz2skcpfcu8mraxnbeks9">
        <w:r>
          <w:rPr>
            <w:rFonts w:ascii="Times New Roman" w:cs="Times New Roman" w:eastAsia="Times New Roman" w:hAnsi="Times New Roman"/>
            <w:b w:val="false"/>
            <w:bCs w:val="false"/>
            <w:i w:val="false"/>
            <w:iCs w:val="false"/>
            <w:color w:val="1155CC"/>
            <w:sz w:val="22"/>
            <w:szCs w:val="22"/>
            <w:u w:val="single"/>
          </w:rPr>
          <w:t xml:space="preserve">La finance pour tous — Quel impôt pour quel produit d'épargne ?</w:t>
        </w:r>
      </w:hyperlink>
      <w:r>
        <w:rPr>
          <w:rFonts w:ascii="Times New Roman" w:cs="Times New Roman" w:eastAsia="Times New Roman" w:hAnsi="Times New Roman"/>
          <w:b w:val="false"/>
          <w:bCs w:val="false"/>
          <w:i w:val="false"/>
          <w:iCs w:val="false"/>
          <w:color w:val="1F2937"/>
          <w:sz w:val="22"/>
          <w:szCs w:val="22"/>
        </w:rPr>
        <w:t xml:space="preserve"> — panorama pédagogique et neutre de la fiscalité par enveloppe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mfakih0zz3bqizn60t80_">
        <w:r>
          <w:rPr>
            <w:rFonts w:ascii="Times New Roman" w:cs="Times New Roman" w:eastAsia="Times New Roman" w:hAnsi="Times New Roman"/>
            <w:b w:val="false"/>
            <w:bCs w:val="false"/>
            <w:i w:val="false"/>
            <w:iCs w:val="false"/>
            <w:color w:val="1155CC"/>
            <w:sz w:val="22"/>
            <w:szCs w:val="22"/>
            <w:u w:val="single"/>
          </w:rPr>
          <w:t xml:space="preserve">La finance pour tous — Fiscalité du PER</w:t>
        </w:r>
      </w:hyperlink>
      <w:r>
        <w:rPr>
          <w:rFonts w:ascii="Times New Roman" w:cs="Times New Roman" w:eastAsia="Times New Roman" w:hAnsi="Times New Roman"/>
          <w:b w:val="false"/>
          <w:bCs w:val="false"/>
          <w:i w:val="false"/>
          <w:iCs w:val="false"/>
          <w:color w:val="1F2937"/>
          <w:sz w:val="22"/>
          <w:szCs w:val="22"/>
        </w:rPr>
        <w:t xml:space="preserve"> — avantage à l'entrée / imposition à la sortie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rajdqfudbg3m1d7py9wer">
        <w:r>
          <w:rPr>
            <w:rFonts w:ascii="Times New Roman" w:cs="Times New Roman" w:eastAsia="Times New Roman" w:hAnsi="Times New Roman"/>
            <w:b w:val="false"/>
            <w:bCs w:val="false"/>
            <w:i w:val="false"/>
            <w:iCs w:val="false"/>
            <w:color w:val="1155CC"/>
            <w:sz w:val="22"/>
            <w:szCs w:val="22"/>
            <w:u w:val="single"/>
          </w:rPr>
          <w:t xml:space="preserve">La finance pour tous — Comprendre le PFU (flat tax)</w:t>
        </w:r>
      </w:hyperlink>
      <w:r>
        <w:rPr>
          <w:rFonts w:ascii="Times New Roman" w:cs="Times New Roman" w:eastAsia="Times New Roman" w:hAnsi="Times New Roman"/>
          <w:b w:val="false"/>
          <w:bCs w:val="false"/>
          <w:i w:val="false"/>
          <w:iCs w:val="false"/>
          <w:color w:val="1F2937"/>
          <w:sz w:val="22"/>
          <w:szCs w:val="22"/>
        </w:rPr>
        <w:t xml:space="preserve"> — l'imposition par défaut des gains (compte-titres)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9larqh1pq8kro6ex4hjjn">
        <w:r>
          <w:rPr>
            <w:rFonts w:ascii="Times New Roman" w:cs="Times New Roman" w:eastAsia="Times New Roman" w:hAnsi="Times New Roman"/>
            <w:b w:val="false"/>
            <w:bCs w:val="false"/>
            <w:i w:val="false"/>
            <w:iCs w:val="false"/>
            <w:color w:val="1155CC"/>
            <w:sz w:val="22"/>
            <w:szCs w:val="22"/>
            <w:u w:val="single"/>
          </w:rPr>
          <w:t xml:space="preserve">AMF — Espace épargnants</w:t>
        </w:r>
      </w:hyperlink>
      <w:r>
        <w:rPr>
          <w:rFonts w:ascii="Times New Roman" w:cs="Times New Roman" w:eastAsia="Times New Roman" w:hAnsi="Times New Roman"/>
          <w:b w:val="false"/>
          <w:bCs w:val="false"/>
          <w:i w:val="false"/>
          <w:iCs w:val="false"/>
          <w:color w:val="1F2937"/>
          <w:sz w:val="22"/>
          <w:szCs w:val="22"/>
        </w:rPr>
        <w:t xml:space="preserve"> — le régulateur : fiches produits, mises en garde, listes blanches</w:t>
      </w:r>
    </w:p>
    <w:p>
      <w:pPr>
        <w:spacing w:after="120" w:before="260"/>
      </w:pPr>
      <w:r>
        <w:rPr>
          <w:rFonts w:ascii="Times New Roman" w:cs="Times New Roman" w:eastAsia="Times New Roman" w:hAnsi="Times New Roman"/>
          <w:b/>
          <w:bCs/>
          <w:i w:val="false"/>
          <w:iCs w:val="false"/>
          <w:color w:val="1B3A6B"/>
          <w:sz w:val="30"/>
          <w:szCs w:val="30"/>
        </w:rPr>
        <w:t xml:space="preserve">👤 Pour aller plus loin avec un professionnel</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val="false"/>
          <w:iCs w:val="false"/>
          <w:color w:val="1F2937"/>
          <w:sz w:val="22"/>
          <w:szCs w:val="22"/>
        </w:rPr>
        <w:t xml:space="preserve">« Compte tenu de mon horizon (~7-8 ans) et de mon besoin de disponibilité, quelle(s) enveloppe(s) sont cohérentes, et pourquoi ? »</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val="false"/>
          <w:iCs w:val="false"/>
          <w:color w:val="1F2937"/>
          <w:sz w:val="22"/>
          <w:szCs w:val="22"/>
        </w:rPr>
        <w:t xml:space="preserve">« Quels sont les frais totaux (entrée, gestion, arbitrage) de l'enveloppe que vous proposez, et comment sont-ils prélevés ? »</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val="false"/>
          <w:iCs w:val="false"/>
          <w:color w:val="1F2937"/>
          <w:sz w:val="22"/>
          <w:szCs w:val="22"/>
        </w:rPr>
        <w:t xml:space="preserve">« Comment êtes-vous rémunéré sur ce que vous me proposez (honoraires, commissions, rétrocessions) ? »</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n°06 — L'assurance-vie en détail : fonds euros vs unités de compte, fiscalité après 8 ans, clause bénéficiaire et succession. On ouvre l'enveloppe la plus polyvalente.</w:t>
      </w:r>
      <w:r>
        <w:rPr>
          <w:rFonts w:ascii="Times New Roman" w:cs="Times New Roman" w:eastAsia="Times New Roman" w:hAnsi="Times New Roman"/>
          <w:i/>
          <w:iCs/>
          <w:color w:val="6B7280"/>
          <w:sz w:val="20"/>
          <w:szCs w:val="20"/>
        </w:rPr>
        <w:t xml:space="preserve"> Thèmes annoncés : fonds euros, unités de compte, fiscalité après 8 ans, clause bénéficiaire, succession.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2skcpfcu8mraxnbeks9" Type="http://schemas.openxmlformats.org/officeDocument/2006/relationships/hyperlink" Target="https://www.lafinancepourtous.com/pratique/impots/fiscalite-de-l-epargne-2/quel-impot-pour-quel-produit-depargne/" TargetMode="External"/><Relationship Id="rIdmfakih0zz3bqizn60t80_" Type="http://schemas.openxmlformats.org/officeDocument/2006/relationships/hyperlink" Target="https://www.lafinancepourtous.com/pratique/impots/fiscalite-de-l-epargne-2/fiscalite-du-plan-depargne-retraite-per/" TargetMode="External"/><Relationship Id="rIdrajdqfudbg3m1d7py9wer" Type="http://schemas.openxmlformats.org/officeDocument/2006/relationships/hyperlink" Target="https://www.lafinancepourtous.com/pratique/impots/fiscalite-de-l-epargne-2/prelevement-forfaitaire-unique-pfu/comprendre-le-pfu/" TargetMode="External"/><Relationship Id="rId9larqh1pq8kro6ex4hjjn" Type="http://schemas.openxmlformats.org/officeDocument/2006/relationships/hyperlink" Target="https://www.amf-france.org/fr/espace-epargnan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2026-07-11T21:44:07.489Z</dcterms:created>
  <dcterms:modified xsi:type="dcterms:W3CDTF">2026-07-11T21:44:07.489Z</dcterms:modified>
</cp:coreProperties>
</file>

<file path=docProps/custom.xml><?xml version="1.0" encoding="utf-8"?>
<Properties xmlns="http://schemas.openxmlformats.org/officeDocument/2006/custom-properties" xmlns:vt="http://schemas.openxmlformats.org/officeDocument/2006/docPropsVTypes"/>
</file>