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200"/>
        <w:jc w:val="center"/>
      </w:pPr>
      <w:r>
        <w:rPr>
          <w:rFonts w:ascii="Times New Roman" w:cs="Times New Roman" w:eastAsia="Times New Roman" w:hAnsi="Times New Roman"/>
          <w:b/>
          <w:bCs/>
          <w:color w:val="1B3A6B"/>
          <w:sz w:val="52"/>
          <w:szCs w:val="52"/>
        </w:rPr>
        <w:t xml:space="preserve">Leçon Placement financier n°07</w:t>
      </w:r>
    </w:p>
    <w:p>
      <w:pPr>
        <w:spacing w:after="200"/>
        <w:jc w:val="center"/>
      </w:pPr>
      <w:r>
        <w:rPr>
          <w:rFonts w:ascii="Times New Roman" w:cs="Times New Roman" w:eastAsia="Times New Roman" w:hAnsi="Times New Roman"/>
          <w:b/>
          <w:bCs/>
          <w:color w:val="1B3A6B"/>
          <w:sz w:val="52"/>
          <w:szCs w:val="52"/>
        </w:rPr>
        <w:t xml:space="preserve">Le PER et la préparation de la retraite</w:t>
      </w:r>
    </w:p>
    <w:p>
      <w:pPr>
        <w:spacing w:after="80"/>
      </w:pPr>
      <w:r>
        <w:t xml:space="preserve"/>
      </w:r>
    </w:p>
    <w:p>
      <w:pPr>
        <w:spacing w:after="100"/>
        <w:jc w:val="center"/>
      </w:pPr>
      <w:r>
        <w:rPr>
          <w:rFonts w:ascii="Times New Roman" w:cs="Times New Roman" w:eastAsia="Times New Roman" w:hAnsi="Times New Roman"/>
          <w:b/>
          <w:bCs/>
          <w:color w:val="1F2937"/>
          <w:sz w:val="22"/>
          <w:szCs w:val="22"/>
        </w:rPr>
        <w:t xml:space="preserve">📅  25 juillet 2026  ·  Module Fondamental — leçon 07 / 16</w:t>
      </w:r>
    </w:p>
    <w:p>
      <w:pPr>
        <w:spacing w:after="100"/>
        <w:jc w:val="center"/>
      </w:pPr>
      <w:r>
        <w:rPr>
          <w:rFonts w:ascii="Times New Roman" w:cs="Times New Roman" w:eastAsia="Times New Roman" w:hAnsi="Times New Roman"/>
          <w:i/>
          <w:iCs/>
          <w:color w:val="1F2937"/>
          <w:sz w:val="22"/>
          <w:szCs w:val="22"/>
        </w:rPr>
        <w:t xml:space="preserve">🔗  S'appuie sur les leçons 01 à 06 (fondations, risque, classes d'actifs, intérêts composés, enveloppes, assurance-vie)</w:t>
      </w:r>
    </w:p>
    <w:p>
      <w:pPr>
        <w:spacing w:after="80"/>
      </w:pPr>
      <w:r>
        <w:t xml:space="preserve"/>
      </w:r>
    </w:p>
    <w:p>
      <w:pPr>
        <w:pBdr>
          <w:bottom w:val="single" w:color="1B3A6B" w:sz="6"/>
        </w:pBdr>
        <w:spacing w:after="120" w:before="300"/>
      </w:pPr>
      <w:r>
        <w:rPr>
          <w:rFonts w:ascii="Times New Roman" w:cs="Times New Roman" w:eastAsia="Times New Roman" w:hAnsi="Times New Roman"/>
          <w:b/>
          <w:bCs/>
          <w:color w:val="1B3A6B"/>
          <w:sz w:val="30"/>
          <w:szCs w:val="30"/>
        </w:rPr>
        <w:t xml:space="preserve">🎯 Objectif &amp; continuité</w:t>
      </w:r>
    </w:p>
    <w:p>
      <w:pPr>
        <w:spacing w:after="100"/>
        <w:jc w:val="both"/>
      </w:pPr>
      <w:r>
        <w:rPr>
          <w:rFonts w:ascii="Times New Roman" w:cs="Times New Roman" w:eastAsia="Times New Roman" w:hAnsi="Times New Roman"/>
          <w:color w:val="1F2937"/>
          <w:sz w:val="22"/>
          <w:szCs w:val="22"/>
        </w:rPr>
        <w:t xml:space="preserve">À la fin de cette leçon, tu sauras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Expliquer ce qu'est un PER et distinguer ses trois formes</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Comprendre la mécanique de déduction fiscale à l'entrée et son intérêt selon le taux marginal d'imposition (TMI)</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Choisir en connaissance de cause entre sortie en capital et sortie en rente</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Lire le tableau de fiscalité à la sortie selon les cas</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Identifier pourquoi le PER est particulièrement pertinent dans un horizon de préparation retraite à 7-8 ans</w:t>
      </w:r>
    </w:p>
    <w:p>
      <w:pPr>
        <w:spacing w:after="80"/>
      </w:pPr>
      <w:r>
        <w:t xml:space="preserve"/>
      </w:r>
    </w:p>
    <w:p>
      <w:pPr>
        <w:spacing w:after="100"/>
        <w:jc w:val="both"/>
      </w:pPr>
      <w:r>
        <w:rPr>
          <w:rFonts w:ascii="Times New Roman" w:cs="Times New Roman" w:eastAsia="Times New Roman" w:hAnsi="Times New Roman"/>
          <w:color w:val="1F2937"/>
          <w:sz w:val="22"/>
          <w:szCs w:val="22"/>
        </w:rPr>
        <w:t xml:space="preserve">Continuité : La leçon 06 a détaillé l'assurance-vie (fonds euros, unités de compte, fiscalité après 8 ans, clause bénéficiaire). Le PER partage certaines similitudes (enveloppe, supports UC) mais répond à une logique inverse : son avantage fiscal est à l'ENTRÉE (déduction des versements) et non à la sortie comme l'assurance-vie. Ces deux enveloppes sont souvent complémentaires.</w:t>
      </w:r>
    </w:p>
    <w:p>
      <w:pPr>
        <w:spacing w:after="80"/>
      </w:pPr>
      <w:r>
        <w:t xml:space="preserve"/>
      </w:r>
    </w:p>
    <w:p>
      <w:pPr>
        <w:pBdr>
          <w:left w:val="thick" w:color="1B3A6B" w:sz="12"/>
        </w:pBdr>
        <w:shd w:fill="F3F4F6" w:color="auto" w:val="clear"/>
        <w:spacing w:after="120" w:before="100"/>
        <w:ind w:left="200" w:right="200"/>
      </w:pPr>
      <w:r>
        <w:rPr>
          <w:rFonts w:ascii="Times New Roman" w:cs="Times New Roman" w:eastAsia="Times New Roman" w:hAnsi="Times New Roman"/>
          <w:i/>
          <w:iCs/>
          <w:color w:val="1B3A6B"/>
          <w:sz w:val="22"/>
          <w:szCs w:val="22"/>
        </w:rPr>
        <w:t xml:space="preserve">⚖️ RAPPEL — Cette leçon relève de l'éducation financière générale. Elle ne constitue pas un conseil en investissement personnalisé. Les supports en unités de compte (UC) au sein d'un PER comportent un risque de perte en capital. Consultez un conseiller en gestion de patrimoine (CGP) ou un conseiller en investissements financiers (CIF) agréé avant toute décision.</w:t>
      </w:r>
    </w:p>
    <w:p>
      <w:pPr>
        <w:spacing w:after="80"/>
      </w:pPr>
      <w:r>
        <w:t xml:space="preserve"/>
      </w:r>
    </w:p>
    <w:p>
      <w:pPr>
        <w:pBdr>
          <w:bottom w:val="single" w:color="1B3A6B" w:sz="6"/>
        </w:pBdr>
        <w:spacing w:after="120" w:before="300"/>
      </w:pPr>
      <w:r>
        <w:rPr>
          <w:rFonts w:ascii="Times New Roman" w:cs="Times New Roman" w:eastAsia="Times New Roman" w:hAnsi="Times New Roman"/>
          <w:b/>
          <w:bCs/>
          <w:color w:val="1B3A6B"/>
          <w:sz w:val="30"/>
          <w:szCs w:val="30"/>
        </w:rPr>
        <w:t xml:space="preserve">🔬 Théorie (20 %) — Comprendre le PER</w:t>
      </w:r>
    </w:p>
    <w:p>
      <w:pPr>
        <w:spacing w:after="80" w:before="200"/>
      </w:pPr>
      <w:r>
        <w:rPr>
          <w:rFonts w:ascii="Times New Roman" w:cs="Times New Roman" w:eastAsia="Times New Roman" w:hAnsi="Times New Roman"/>
          <w:b/>
          <w:bCs/>
          <w:color w:val="1F2937"/>
          <w:sz w:val="26"/>
          <w:szCs w:val="26"/>
        </w:rPr>
        <w:t xml:space="preserve">1. Qu'est-ce que le PER ?</w:t>
      </w:r>
    </w:p>
    <w:p>
      <w:pPr>
        <w:spacing w:after="100"/>
        <w:jc w:val="both"/>
      </w:pPr>
      <w:r>
        <w:rPr>
          <w:rFonts w:ascii="Times New Roman" w:cs="Times New Roman" w:eastAsia="Times New Roman" w:hAnsi="Times New Roman"/>
          <w:color w:val="1F2937"/>
          <w:sz w:val="22"/>
          <w:szCs w:val="22"/>
        </w:rPr>
        <w:t xml:space="preserve">Le Plan d'Épargne Retraite (PER) est une enveloppe d'épargne longue durée créée par la loi PACTE de 2019. Il remplace les anciens produits PERP, Madelin, PERCO et article 83, en les unifiant sous un cadre simplifié. Son principe fondateur : constituer un capital en phase d'activité, tout en bénéficiant d'un avantage fiscal immédiat (déduction des versements), en vue d'un déblocage à la retraite.</w:t>
      </w:r>
    </w:p>
    <w:p>
      <w:pPr>
        <w:spacing w:after="80"/>
      </w:pPr>
      <w:r>
        <w:t xml:space="preserve"/>
      </w:r>
    </w:p>
    <w:p>
      <w:pPr>
        <w:spacing w:after="80" w:before="200"/>
      </w:pPr>
      <w:r>
        <w:rPr>
          <w:rFonts w:ascii="Times New Roman" w:cs="Times New Roman" w:eastAsia="Times New Roman" w:hAnsi="Times New Roman"/>
          <w:b/>
          <w:bCs/>
          <w:color w:val="1F2937"/>
          <w:sz w:val="26"/>
          <w:szCs w:val="26"/>
        </w:rPr>
        <w:t xml:space="preserve">2. Les trois formes de PER</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PER individuel (PERIN) : ouvert à tous (salariés, indépendants, sans-emploi, retraités). Accessible en banque, assurance ou courtier.</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PER d'entreprise collectif (PERECO) : proposé par l'employeur, alimenté par épargne salariale (intéressement, participation, abondement).</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PER d'entreprise obligatoire (PERO) : pour certaines catégories de salariés, sortie en rente obligatoire à la retraite.</w:t>
      </w:r>
    </w:p>
    <w:p>
      <w:pPr>
        <w:spacing w:after="80"/>
      </w:pPr>
      <w:r>
        <w:t xml:space="preserve"/>
      </w:r>
    </w:p>
    <w:p>
      <w:pPr>
        <w:spacing w:after="80" w:before="200"/>
      </w:pPr>
      <w:r>
        <w:rPr>
          <w:rFonts w:ascii="Times New Roman" w:cs="Times New Roman" w:eastAsia="Times New Roman" w:hAnsi="Times New Roman"/>
          <w:b/>
          <w:bCs/>
          <w:color w:val="1F2937"/>
          <w:sz w:val="26"/>
          <w:szCs w:val="26"/>
        </w:rPr>
        <w:t xml:space="preserve">3. Phase de constitution : versements et déduction fiscale</w:t>
      </w:r>
    </w:p>
    <w:p>
      <w:pPr>
        <w:spacing w:after="100"/>
        <w:jc w:val="both"/>
      </w:pPr>
      <w:r>
        <w:rPr>
          <w:rFonts w:ascii="Times New Roman" w:cs="Times New Roman" w:eastAsia="Times New Roman" w:hAnsi="Times New Roman"/>
          <w:color w:val="1F2937"/>
          <w:sz w:val="22"/>
          <w:szCs w:val="22"/>
        </w:rPr>
        <w:t xml:space="preserve">Les versements volontaires sur un PER individuel sont déductibles du revenu brut global dans la limite d'un plafond annuel.</w:t>
      </w:r>
    </w:p>
    <w:p>
      <w:pPr>
        <w:spacing w:after="100"/>
        <w:jc w:val="both"/>
      </w:pPr>
      <w:r>
        <w:rPr>
          <w:rFonts w:ascii="Times New Roman" w:cs="Times New Roman" w:eastAsia="Times New Roman" w:hAnsi="Times New Roman"/>
          <w:color w:val="1F2937"/>
          <w:sz w:val="22"/>
          <w:szCs w:val="22"/>
        </w:rPr>
        <w:t xml:space="preserve">Plafonds 2026 (par membre du foyer fiscal) — le plus élevé des deux montants suivants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10 % des revenus professionnels nets de l'année précédente (plafonné à 37 680 €)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Plancher : 4 710 €</w:t>
      </w:r>
    </w:p>
    <w:p>
      <w:pPr>
        <w:spacing w:after="100"/>
        <w:jc w:val="both"/>
      </w:pPr>
      <w:r>
        <w:rPr>
          <w:rFonts w:ascii="Times New Roman" w:cs="Times New Roman" w:eastAsia="Times New Roman" w:hAnsi="Times New Roman"/>
          <w:color w:val="1F2937"/>
          <w:sz w:val="22"/>
          <w:szCs w:val="22"/>
        </w:rPr>
        <w:t xml:space="preserve">Depuis 2026, les plafonds non utilisés des cinq années précédentes (au lieu de trois) peuvent être reportés et mobilisés.</w:t>
      </w:r>
    </w:p>
    <w:p>
      <w:pPr>
        <w:spacing w:after="80"/>
      </w:pPr>
      <w:r>
        <w:t xml:space="preserve"/>
      </w:r>
    </w:p>
    <w:p>
      <w:pPr>
        <w:pBdr>
          <w:left w:val="thick" w:color="1B3A6B" w:sz="12"/>
        </w:pBdr>
        <w:shd w:fill="F3F4F6" w:color="auto" w:val="clear"/>
        <w:spacing w:after="120" w:before="100"/>
        <w:ind w:left="200" w:right="200"/>
      </w:pPr>
      <w:r>
        <w:rPr>
          <w:rFonts w:ascii="Times New Roman" w:cs="Times New Roman" w:eastAsia="Times New Roman" w:hAnsi="Times New Roman"/>
          <w:i/>
          <w:iCs/>
          <w:color w:val="1B3A6B"/>
          <w:sz w:val="22"/>
          <w:szCs w:val="22"/>
        </w:rPr>
        <w:t xml:space="preserve">Principe clé : l'économie d'impôt est proportionnelle au TMI. Un versement de 1 000 € coûte 700 € net si le TMI est à 30 % (économie : 300 €), mais seulement 890 € net si le TMI est à 11 % (économie : 110 €). Plus le TMI est élevé, plus la déduction est avantageuse.</w:t>
      </w:r>
    </w:p>
    <w:p>
      <w:pPr>
        <w:spacing w:after="80"/>
      </w:pPr>
      <w:r>
        <w:t xml:space="preserve"/>
      </w:r>
    </w:p>
    <w:p>
      <w:pPr>
        <w:spacing w:after="100"/>
        <w:jc w:val="both"/>
      </w:pPr>
      <w:r>
        <w:rPr>
          <w:rFonts w:ascii="Times New Roman" w:cs="Times New Roman" w:eastAsia="Times New Roman" w:hAnsi="Times New Roman"/>
          <w:color w:val="1F2937"/>
          <w:sz w:val="22"/>
          <w:szCs w:val="22"/>
        </w:rPr>
        <w:t xml:space="preserve">Option alternative : il est possible de RENONCER à la déduction à l'entrée (versements « non déduits »). La fiscalité à la sortie en sera allégée (voir tableau ci-dessous). Cela peut être judicieux si le TMI pendant l'activité est faible.</w:t>
      </w:r>
    </w:p>
    <w:p>
      <w:pPr>
        <w:spacing w:after="80"/>
      </w:pPr>
      <w:r>
        <w:t xml:space="preserve"/>
      </w:r>
    </w:p>
    <w:p>
      <w:pPr>
        <w:spacing w:after="80" w:before="200"/>
      </w:pPr>
      <w:r>
        <w:rPr>
          <w:rFonts w:ascii="Times New Roman" w:cs="Times New Roman" w:eastAsia="Times New Roman" w:hAnsi="Times New Roman"/>
          <w:b/>
          <w:bCs/>
          <w:color w:val="1F2937"/>
          <w:sz w:val="26"/>
          <w:szCs w:val="26"/>
        </w:rPr>
        <w:t xml:space="preserve">4. La gestion pilotée (par défaut)</w:t>
      </w:r>
    </w:p>
    <w:p>
      <w:pPr>
        <w:spacing w:after="100"/>
        <w:jc w:val="both"/>
      </w:pPr>
      <w:r>
        <w:rPr>
          <w:rFonts w:ascii="Times New Roman" w:cs="Times New Roman" w:eastAsia="Times New Roman" w:hAnsi="Times New Roman"/>
          <w:color w:val="1F2937"/>
          <w:sz w:val="22"/>
          <w:szCs w:val="22"/>
        </w:rPr>
        <w:t xml:space="preserve">Par défaut, le PER fonctionne en « gestion pilotée horizon retraite » : l'épargne est investie en actifs dynamiques (actions, UC) lorsque l'horizon est long, puis progressivement sécurisée (fonds euros, obligations) à l'approche de la date de retraite. Ce mécanisme automatique réduit le risque de perte en capital au moment où vous en aurez besoin.</w:t>
      </w:r>
    </w:p>
    <w:p>
      <w:pPr>
        <w:spacing w:after="80"/>
      </w:pPr>
      <w:r>
        <w:t xml:space="preserve"/>
      </w:r>
    </w:p>
    <w:p>
      <w:pPr>
        <w:spacing w:after="80" w:before="200"/>
      </w:pPr>
      <w:r>
        <w:rPr>
          <w:rFonts w:ascii="Times New Roman" w:cs="Times New Roman" w:eastAsia="Times New Roman" w:hAnsi="Times New Roman"/>
          <w:b/>
          <w:bCs/>
          <w:color w:val="1F2937"/>
          <w:sz w:val="26"/>
          <w:szCs w:val="26"/>
        </w:rPr>
        <w:t xml:space="preserve">5. Déblocages anticipés possibles</w:t>
      </w:r>
    </w:p>
    <w:p>
      <w:pPr>
        <w:spacing w:after="100"/>
        <w:jc w:val="both"/>
      </w:pPr>
      <w:r>
        <w:rPr>
          <w:rFonts w:ascii="Times New Roman" w:cs="Times New Roman" w:eastAsia="Times New Roman" w:hAnsi="Times New Roman"/>
          <w:color w:val="1F2937"/>
          <w:sz w:val="22"/>
          <w:szCs w:val="22"/>
        </w:rPr>
        <w:t xml:space="preserve">Bien que le PER soit bloqué jusqu'à la retraite, des cas de déblocage anticipé existent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Décès du conjoint ou partenaire de PACS</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Invalidité (de soi-même, du conjoint ou d'un enfant)</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Surendettement</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Expiration des droits à l'assurance chômage</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Achat de la résidence principale (pour les compartiments individuel et collectif uniquement)</w:t>
      </w:r>
    </w:p>
    <w:p>
      <w:pPr>
        <w:spacing w:after="80"/>
      </w:pPr>
      <w:r>
        <w:t xml:space="preserve"/>
      </w:r>
    </w:p>
    <w:p>
      <w:pPr>
        <w:spacing w:after="80" w:before="200"/>
      </w:pPr>
      <w:r>
        <w:rPr>
          <w:rFonts w:ascii="Times New Roman" w:cs="Times New Roman" w:eastAsia="Times New Roman" w:hAnsi="Times New Roman"/>
          <w:b/>
          <w:bCs/>
          <w:color w:val="1F2937"/>
          <w:sz w:val="26"/>
          <w:szCs w:val="26"/>
        </w:rPr>
        <w:t xml:space="preserve">6. Phase de sortie : capital, rente ou mixte</w:t>
      </w:r>
    </w:p>
    <w:p>
      <w:pPr>
        <w:spacing w:after="100"/>
        <w:jc w:val="both"/>
      </w:pPr>
      <w:r>
        <w:rPr>
          <w:rFonts w:ascii="Times New Roman" w:cs="Times New Roman" w:eastAsia="Times New Roman" w:hAnsi="Times New Roman"/>
          <w:color w:val="1F2937"/>
          <w:sz w:val="22"/>
          <w:szCs w:val="22"/>
        </w:rPr>
        <w:t xml:space="preserve">À l'âge de la retraite, trois options sont disponibles pour les compartiments individuel et collectif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Sortie en capital : récupération en une fois ou de manière fractionnée</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Sortie en rente viagère : versement mensuel garanti à vie</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Sortie mixte : combinaison des deux (une partie en capital, une partie en rente)</w:t>
      </w:r>
    </w:p>
    <w:p>
      <w:pPr>
        <w:spacing w:after="80"/>
      </w:pPr>
      <w:r>
        <w:t xml:space="preserve"/>
      </w:r>
    </w:p>
    <w:p>
      <w:pPr>
        <w:spacing w:after="80" w:before="200"/>
      </w:pPr>
      <w:r>
        <w:rPr>
          <w:rFonts w:ascii="Times New Roman" w:cs="Times New Roman" w:eastAsia="Times New Roman" w:hAnsi="Times New Roman"/>
          <w:b/>
          <w:bCs/>
          <w:color w:val="1F2937"/>
          <w:sz w:val="26"/>
          <w:szCs w:val="26"/>
        </w:rPr>
        <w:t xml:space="preserve">7. Fiscalité à la sortie (2026)</w:t>
      </w:r>
    </w:p>
    <w:p>
      <w:pPr>
        <w:spacing w:after="100"/>
        <w:jc w:val="both"/>
      </w:pPr>
      <w:r>
        <w:rPr>
          <w:rFonts w:ascii="Times New Roman" w:cs="Times New Roman" w:eastAsia="Times New Roman" w:hAnsi="Times New Roman"/>
          <w:color w:val="1F2937"/>
          <w:sz w:val="22"/>
          <w:szCs w:val="22"/>
        </w:rPr>
        <w:t xml:space="preserve">Le régime fiscal dépend de deux variables : le mode de sortie (capital ou rente) ET le fait que les versements aient été déduits ou non.</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gridCol w:w="100"/>
      </w:tblGrid>
      <w:tr>
        <w:trPr>
          <w:tblHeader/>
        </w:trPr>
        <w:tc>
          <w:tcPr>
            <w:shd w:fill="1B3A6B"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Situation</w:t>
            </w:r>
          </w:p>
        </w:tc>
        <w:tc>
          <w:tcPr>
            <w:shd w:fill="1B3A6B"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Part capital</w:t>
            </w:r>
          </w:p>
        </w:tc>
        <w:tc>
          <w:tcPr>
            <w:shd w:fill="1B3A6B"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Intérêts / plus-values</w:t>
            </w:r>
          </w:p>
        </w:tc>
      </w:tr>
      <w:tr>
        <w:tc>
          <w:tcPr>
            <w:shd w:fill="FFFFFF" w:color="auto" w:val="clear"/>
            <w:tcMar>
              <w:top w:type="dxa" w:w="60"/>
              <w:left w:type="dxa" w:w="120"/>
              <w:bottom w:type="dxa" w:w="60"/>
              <w:right w:type="dxa" w:w="120"/>
            </w:tcMar>
          </w:tcPr>
          <w:p>
            <w:pPr>
              <w:jc w:val="left"/>
            </w:pPr>
            <w:r>
              <w:rPr>
                <w:rFonts w:ascii="Times New Roman" w:cs="Times New Roman" w:eastAsia="Times New Roman" w:hAnsi="Times New Roman"/>
                <w:color w:val="1F2937"/>
                <w:sz w:val="18"/>
                <w:szCs w:val="18"/>
              </w:rPr>
              <w:t xml:space="preserve">Versements déduits → Sortie en capital</w:t>
            </w:r>
          </w:p>
        </w:tc>
        <w:tc>
          <w:tcPr>
            <w:shd w:fill="FFFFFF" w:color="auto" w:val="clear"/>
            <w:tcMar>
              <w:top w:type="dxa" w:w="60"/>
              <w:left w:type="dxa" w:w="120"/>
              <w:bottom w:type="dxa" w:w="60"/>
              <w:right w:type="dxa" w:w="120"/>
            </w:tcMar>
          </w:tcPr>
          <w:p>
            <w:pPr>
              <w:jc w:val="left"/>
            </w:pPr>
            <w:r>
              <w:rPr>
                <w:rFonts w:ascii="Times New Roman" w:cs="Times New Roman" w:eastAsia="Times New Roman" w:hAnsi="Times New Roman"/>
                <w:color w:val="1F2937"/>
                <w:sz w:val="18"/>
                <w:szCs w:val="18"/>
              </w:rPr>
              <w:t xml:space="preserve">Barème IR progressif (sans abattement)</w:t>
            </w:r>
          </w:p>
        </w:tc>
        <w:tc>
          <w:tcPr>
            <w:shd w:fill="FFFFFF" w:color="auto" w:val="clear"/>
            <w:tcMar>
              <w:top w:type="dxa" w:w="60"/>
              <w:left w:type="dxa" w:w="120"/>
              <w:bottom w:type="dxa" w:w="60"/>
              <w:right w:type="dxa" w:w="120"/>
            </w:tcMar>
          </w:tcPr>
          <w:p>
            <w:pPr>
              <w:jc w:val="left"/>
            </w:pPr>
            <w:r>
              <w:rPr>
                <w:rFonts w:ascii="Times New Roman" w:cs="Times New Roman" w:eastAsia="Times New Roman" w:hAnsi="Times New Roman"/>
                <w:color w:val="1F2937"/>
                <w:sz w:val="18"/>
                <w:szCs w:val="18"/>
              </w:rPr>
              <w:t xml:space="preserve">PFU 31,4 % (12,8 % IR + 18,6 % PS)</w:t>
            </w:r>
          </w:p>
        </w:tc>
      </w:tr>
      <w:tr>
        <w:tc>
          <w:tcPr>
            <w:shd w:fill="EEF2F7" w:color="auto" w:val="clear"/>
            <w:tcMar>
              <w:top w:type="dxa" w:w="60"/>
              <w:left w:type="dxa" w:w="120"/>
              <w:bottom w:type="dxa" w:w="60"/>
              <w:right w:type="dxa" w:w="120"/>
            </w:tcMar>
          </w:tcPr>
          <w:p>
            <w:pPr>
              <w:jc w:val="left"/>
            </w:pPr>
            <w:r>
              <w:rPr>
                <w:rFonts w:ascii="Times New Roman" w:cs="Times New Roman" w:eastAsia="Times New Roman" w:hAnsi="Times New Roman"/>
                <w:color w:val="1F2937"/>
                <w:sz w:val="18"/>
                <w:szCs w:val="18"/>
              </w:rPr>
              <w:t xml:space="preserve">Versements non déduits → Sortie en capital</w:t>
            </w:r>
          </w:p>
        </w:tc>
        <w:tc>
          <w:tcPr>
            <w:shd w:fill="EEF2F7" w:color="auto" w:val="clear"/>
            <w:tcMar>
              <w:top w:type="dxa" w:w="60"/>
              <w:left w:type="dxa" w:w="120"/>
              <w:bottom w:type="dxa" w:w="60"/>
              <w:right w:type="dxa" w:w="120"/>
            </w:tcMar>
          </w:tcPr>
          <w:p>
            <w:pPr>
              <w:jc w:val="left"/>
            </w:pPr>
            <w:r>
              <w:rPr>
                <w:rFonts w:ascii="Times New Roman" w:cs="Times New Roman" w:eastAsia="Times New Roman" w:hAnsi="Times New Roman"/>
                <w:color w:val="1F2937"/>
                <w:sz w:val="18"/>
                <w:szCs w:val="18"/>
              </w:rPr>
              <w:t xml:space="preserve">Exonérée d'IR et de PS</w:t>
            </w:r>
          </w:p>
        </w:tc>
        <w:tc>
          <w:tcPr>
            <w:shd w:fill="EEF2F7" w:color="auto" w:val="clear"/>
            <w:tcMar>
              <w:top w:type="dxa" w:w="60"/>
              <w:left w:type="dxa" w:w="120"/>
              <w:bottom w:type="dxa" w:w="60"/>
              <w:right w:type="dxa" w:w="120"/>
            </w:tcMar>
          </w:tcPr>
          <w:p>
            <w:pPr>
              <w:jc w:val="left"/>
            </w:pPr>
            <w:r>
              <w:rPr>
                <w:rFonts w:ascii="Times New Roman" w:cs="Times New Roman" w:eastAsia="Times New Roman" w:hAnsi="Times New Roman"/>
                <w:color w:val="1F2937"/>
                <w:sz w:val="18"/>
                <w:szCs w:val="18"/>
              </w:rPr>
              <w:t xml:space="preserve">PFU 31,4 % (12,8 % IR + 18,6 % PS)</w:t>
            </w:r>
          </w:p>
        </w:tc>
      </w:tr>
      <w:tr>
        <w:tc>
          <w:tcPr>
            <w:shd w:fill="FFFFFF" w:color="auto" w:val="clear"/>
            <w:tcMar>
              <w:top w:type="dxa" w:w="60"/>
              <w:left w:type="dxa" w:w="120"/>
              <w:bottom w:type="dxa" w:w="60"/>
              <w:right w:type="dxa" w:w="120"/>
            </w:tcMar>
          </w:tcPr>
          <w:p>
            <w:pPr>
              <w:jc w:val="left"/>
            </w:pPr>
            <w:r>
              <w:rPr>
                <w:rFonts w:ascii="Times New Roman" w:cs="Times New Roman" w:eastAsia="Times New Roman" w:hAnsi="Times New Roman"/>
                <w:color w:val="1F2937"/>
                <w:sz w:val="18"/>
                <w:szCs w:val="18"/>
              </w:rPr>
              <w:t xml:space="preserve">Sortie en rente viagère (versements déduits ou non)</w:t>
            </w:r>
          </w:p>
        </w:tc>
        <w:tc>
          <w:tcPr>
            <w:shd w:fill="FFFFFF" w:color="auto" w:val="clear"/>
            <w:tcMar>
              <w:top w:type="dxa" w:w="60"/>
              <w:left w:type="dxa" w:w="120"/>
              <w:bottom w:type="dxa" w:w="60"/>
              <w:right w:type="dxa" w:w="120"/>
            </w:tcMar>
          </w:tcPr>
          <w:p>
            <w:pPr>
              <w:jc w:val="left"/>
            </w:pPr>
            <w:r>
              <w:rPr>
                <w:rFonts w:ascii="Times New Roman" w:cs="Times New Roman" w:eastAsia="Times New Roman" w:hAnsi="Times New Roman"/>
                <w:color w:val="1F2937"/>
                <w:sz w:val="18"/>
                <w:szCs w:val="18"/>
              </w:rPr>
              <w:t xml:space="preserve">Barème IR — régime pensions de retraite, abattement 10 %</w:t>
            </w:r>
          </w:p>
        </w:tc>
        <w:tc>
          <w:tcPr>
            <w:shd w:fill="FFFFFF" w:color="auto" w:val="clear"/>
            <w:tcMar>
              <w:top w:type="dxa" w:w="60"/>
              <w:left w:type="dxa" w:w="120"/>
              <w:bottom w:type="dxa" w:w="60"/>
              <w:right w:type="dxa" w:w="120"/>
            </w:tcMar>
          </w:tcPr>
          <w:p>
            <w:pPr>
              <w:jc w:val="left"/>
            </w:pPr>
            <w:r>
              <w:rPr>
                <w:rFonts w:ascii="Times New Roman" w:cs="Times New Roman" w:eastAsia="Times New Roman" w:hAnsi="Times New Roman"/>
                <w:color w:val="1F2937"/>
                <w:sz w:val="18"/>
                <w:szCs w:val="18"/>
              </w:rPr>
              <w:t xml:space="preserve">PS 18,6 % (depuis 01/01/2026)</w:t>
            </w:r>
          </w:p>
        </w:tc>
      </w:tr>
    </w:tbl>
    <w:p>
      <w:pPr>
        <w:spacing w:after="80"/>
      </w:pPr>
      <w:r>
        <w:t xml:space="preserve"/>
      </w:r>
    </w:p>
    <w:p>
      <w:pPr>
        <w:pBdr>
          <w:left w:val="thick" w:color="1B3A6B" w:sz="12"/>
        </w:pBdr>
        <w:shd w:fill="F3F4F6" w:color="auto" w:val="clear"/>
        <w:spacing w:after="120" w:before="100"/>
        <w:ind w:left="200" w:right="200"/>
      </w:pPr>
      <w:r>
        <w:rPr>
          <w:rFonts w:ascii="Times New Roman" w:cs="Times New Roman" w:eastAsia="Times New Roman" w:hAnsi="Times New Roman"/>
          <w:i/>
          <w:iCs/>
          <w:color w:val="1B3A6B"/>
          <w:sz w:val="22"/>
          <w:szCs w:val="22"/>
        </w:rPr>
        <w:t xml:space="preserve">Point de vigilance : en cas de sortie en capital avec versements déduits, la part du capital versé est imposée au barème IR progressif, sans abattement. Cela peut représenter un montant significatif si le capital est important. La sortie fractionnée (capital versé en plusieurs fois sur plusieurs années) peut permettre d'étaler la charge fiscale.</w:t>
      </w:r>
    </w:p>
    <w:p>
      <w:pPr>
        <w:spacing w:after="80"/>
      </w:pPr>
      <w:r>
        <w:t xml:space="preserve"/>
      </w:r>
    </w:p>
    <w:p>
      <w:pPr>
        <w:spacing w:after="80" w:before="200"/>
      </w:pPr>
      <w:r>
        <w:rPr>
          <w:rFonts w:ascii="Times New Roman" w:cs="Times New Roman" w:eastAsia="Times New Roman" w:hAnsi="Times New Roman"/>
          <w:b/>
          <w:bCs/>
          <w:color w:val="1F2937"/>
          <w:sz w:val="26"/>
          <w:szCs w:val="26"/>
        </w:rPr>
        <w:t xml:space="preserve">8. Décès avant liquidation</w:t>
      </w:r>
    </w:p>
    <w:p>
      <w:pPr>
        <w:spacing w:after="100"/>
        <w:jc w:val="both"/>
      </w:pPr>
      <w:r>
        <w:rPr>
          <w:rFonts w:ascii="Times New Roman" w:cs="Times New Roman" w:eastAsia="Times New Roman" w:hAnsi="Times New Roman"/>
          <w:color w:val="1F2937"/>
          <w:sz w:val="22"/>
          <w:szCs w:val="22"/>
        </w:rPr>
        <w:t xml:space="preserve">Si le souscripteur décède avant d'avoir liquidé son PER, les fonds sont transmis aux bénéficiaires désignés selon un régime proche de l'assurance-vie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Décès avant 70 ans : exonération jusqu'à 152 500 € par bénéficiaire ; au-delà : 20 % jusqu'à 700 000 €, puis 31,25 %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Décès après 70 ans : abattement unique de 30 500 € pour l'ensemble des bénéficiaires ; au-delà : intégration à la succession</w:t>
      </w:r>
    </w:p>
    <w:p>
      <w:pPr>
        <w:spacing w:after="80"/>
      </w:pPr>
      <w:r>
        <w:t xml:space="preserve"/>
      </w:r>
    </w:p>
    <w:p>
      <w:pPr>
        <w:spacing w:after="80" w:before="200"/>
      </w:pPr>
      <w:r>
        <w:rPr>
          <w:rFonts w:ascii="Times New Roman" w:cs="Times New Roman" w:eastAsia="Times New Roman" w:hAnsi="Times New Roman"/>
          <w:b/>
          <w:bCs/>
          <w:color w:val="1F2937"/>
          <w:sz w:val="26"/>
          <w:szCs w:val="26"/>
        </w:rPr>
        <w:t xml:space="preserve">9. Transfert des anciens produits</w:t>
      </w:r>
    </w:p>
    <w:p>
      <w:pPr>
        <w:spacing w:after="100"/>
        <w:jc w:val="both"/>
      </w:pPr>
      <w:r>
        <w:rPr>
          <w:rFonts w:ascii="Times New Roman" w:cs="Times New Roman" w:eastAsia="Times New Roman" w:hAnsi="Times New Roman"/>
          <w:color w:val="1F2937"/>
          <w:sz w:val="22"/>
          <w:szCs w:val="22"/>
        </w:rPr>
        <w:t xml:space="preserve">Les anciens produits d'épargne retraite (PERP, Madelin, Préfon) peuvent être transférés vers un PER. Le transfert entre PER est gratuit si le contrat a plus de 5 ans (frais limités à 1 % sinon). Avantage du transfert : accès à une gamme de supports plus large, possibilité de sortie en capital (impossible sur PERP ou Madelin).</w:t>
      </w:r>
    </w:p>
    <w:p>
      <w:pPr>
        <w:spacing w:after="80"/>
      </w:pPr>
      <w:r>
        <w:t xml:space="preserve"/>
      </w:r>
    </w:p>
    <w:p>
      <w:pPr>
        <w:spacing w:after="80" w:before="200"/>
      </w:pPr>
      <w:r>
        <w:rPr>
          <w:rFonts w:ascii="Times New Roman" w:cs="Times New Roman" w:eastAsia="Times New Roman" w:hAnsi="Times New Roman"/>
          <w:b/>
          <w:bCs/>
          <w:color w:val="1F2937"/>
          <w:sz w:val="26"/>
          <w:szCs w:val="26"/>
        </w:rPr>
        <w:t xml:space="preserve">10. PER et assurance-vie : deux logiques complémentaires</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gridCol w:w="100"/>
      </w:tblGrid>
      <w:tr>
        <w:trPr>
          <w:tblHeader/>
        </w:trPr>
        <w:tc>
          <w:tcPr>
            <w:shd w:fill="1B3A6B"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Critère</w:t>
            </w:r>
          </w:p>
        </w:tc>
        <w:tc>
          <w:tcPr>
            <w:shd w:fill="1B3A6B"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PER</w:t>
            </w:r>
          </w:p>
        </w:tc>
        <w:tc>
          <w:tcPr>
            <w:shd w:fill="1B3A6B"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Assurance-vie</w:t>
            </w:r>
          </w:p>
        </w:tc>
      </w:tr>
      <w:tr>
        <w:tc>
          <w:tcPr>
            <w:shd w:fill="FFFFFF" w:color="auto" w:val="clear"/>
            <w:tcMar>
              <w:top w:type="dxa" w:w="60"/>
              <w:left w:type="dxa" w:w="120"/>
              <w:bottom w:type="dxa" w:w="60"/>
              <w:right w:type="dxa" w:w="120"/>
            </w:tcMar>
          </w:tcPr>
          <w:p>
            <w:pPr>
              <w:jc w:val="left"/>
            </w:pPr>
            <w:r>
              <w:rPr>
                <w:rFonts w:ascii="Times New Roman" w:cs="Times New Roman" w:eastAsia="Times New Roman" w:hAnsi="Times New Roman"/>
                <w:color w:val="1F2937"/>
                <w:sz w:val="18"/>
                <w:szCs w:val="18"/>
              </w:rPr>
              <w:t xml:space="preserve">Avantage fiscal</w:t>
            </w:r>
          </w:p>
        </w:tc>
        <w:tc>
          <w:tcPr>
            <w:shd w:fill="FFFFFF" w:color="auto" w:val="clear"/>
            <w:tcMar>
              <w:top w:type="dxa" w:w="60"/>
              <w:left w:type="dxa" w:w="120"/>
              <w:bottom w:type="dxa" w:w="60"/>
              <w:right w:type="dxa" w:w="120"/>
            </w:tcMar>
          </w:tcPr>
          <w:p>
            <w:pPr>
              <w:jc w:val="left"/>
            </w:pPr>
            <w:r>
              <w:rPr>
                <w:rFonts w:ascii="Times New Roman" w:cs="Times New Roman" w:eastAsia="Times New Roman" w:hAnsi="Times New Roman"/>
                <w:color w:val="1F2937"/>
                <w:sz w:val="18"/>
                <w:szCs w:val="18"/>
              </w:rPr>
              <w:t xml:space="preserve">À l'entrée (déduction)</w:t>
            </w:r>
          </w:p>
        </w:tc>
        <w:tc>
          <w:tcPr>
            <w:shd w:fill="FFFFFF" w:color="auto" w:val="clear"/>
            <w:tcMar>
              <w:top w:type="dxa" w:w="60"/>
              <w:left w:type="dxa" w:w="120"/>
              <w:bottom w:type="dxa" w:w="60"/>
              <w:right w:type="dxa" w:w="120"/>
            </w:tcMar>
          </w:tcPr>
          <w:p>
            <w:pPr>
              <w:jc w:val="left"/>
            </w:pPr>
            <w:r>
              <w:rPr>
                <w:rFonts w:ascii="Times New Roman" w:cs="Times New Roman" w:eastAsia="Times New Roman" w:hAnsi="Times New Roman"/>
                <w:color w:val="1F2937"/>
                <w:sz w:val="18"/>
                <w:szCs w:val="18"/>
              </w:rPr>
              <w:t xml:space="preserve">À la sortie (après 8 ans)</w:t>
            </w:r>
          </w:p>
        </w:tc>
      </w:tr>
      <w:tr>
        <w:tc>
          <w:tcPr>
            <w:shd w:fill="EEF2F7" w:color="auto" w:val="clear"/>
            <w:tcMar>
              <w:top w:type="dxa" w:w="60"/>
              <w:left w:type="dxa" w:w="120"/>
              <w:bottom w:type="dxa" w:w="60"/>
              <w:right w:type="dxa" w:w="120"/>
            </w:tcMar>
          </w:tcPr>
          <w:p>
            <w:pPr>
              <w:jc w:val="left"/>
            </w:pPr>
            <w:r>
              <w:rPr>
                <w:rFonts w:ascii="Times New Roman" w:cs="Times New Roman" w:eastAsia="Times New Roman" w:hAnsi="Times New Roman"/>
                <w:color w:val="1F2937"/>
                <w:sz w:val="18"/>
                <w:szCs w:val="18"/>
              </w:rPr>
              <w:t xml:space="preserve">Liquidité</w:t>
            </w:r>
          </w:p>
        </w:tc>
        <w:tc>
          <w:tcPr>
            <w:shd w:fill="EEF2F7" w:color="auto" w:val="clear"/>
            <w:tcMar>
              <w:top w:type="dxa" w:w="60"/>
              <w:left w:type="dxa" w:w="120"/>
              <w:bottom w:type="dxa" w:w="60"/>
              <w:right w:type="dxa" w:w="120"/>
            </w:tcMar>
          </w:tcPr>
          <w:p>
            <w:pPr>
              <w:jc w:val="left"/>
            </w:pPr>
            <w:r>
              <w:rPr>
                <w:rFonts w:ascii="Times New Roman" w:cs="Times New Roman" w:eastAsia="Times New Roman" w:hAnsi="Times New Roman"/>
                <w:color w:val="1F2937"/>
                <w:sz w:val="18"/>
                <w:szCs w:val="18"/>
              </w:rPr>
              <w:t xml:space="preserve">Bloqué jusqu'à la retraite (sauf cas)</w:t>
            </w:r>
          </w:p>
        </w:tc>
        <w:tc>
          <w:tcPr>
            <w:shd w:fill="EEF2F7" w:color="auto" w:val="clear"/>
            <w:tcMar>
              <w:top w:type="dxa" w:w="60"/>
              <w:left w:type="dxa" w:w="120"/>
              <w:bottom w:type="dxa" w:w="60"/>
              <w:right w:type="dxa" w:w="120"/>
            </w:tcMar>
          </w:tcPr>
          <w:p>
            <w:pPr>
              <w:jc w:val="left"/>
            </w:pPr>
            <w:r>
              <w:rPr>
                <w:rFonts w:ascii="Times New Roman" w:cs="Times New Roman" w:eastAsia="Times New Roman" w:hAnsi="Times New Roman"/>
                <w:color w:val="1F2937"/>
                <w:sz w:val="18"/>
                <w:szCs w:val="18"/>
              </w:rPr>
              <w:t xml:space="preserve">Disponible à tout moment</w:t>
            </w:r>
          </w:p>
        </w:tc>
      </w:tr>
      <w:tr>
        <w:tc>
          <w:tcPr>
            <w:shd w:fill="FFFFFF" w:color="auto" w:val="clear"/>
            <w:tcMar>
              <w:top w:type="dxa" w:w="60"/>
              <w:left w:type="dxa" w:w="120"/>
              <w:bottom w:type="dxa" w:w="60"/>
              <w:right w:type="dxa" w:w="120"/>
            </w:tcMar>
          </w:tcPr>
          <w:p>
            <w:pPr>
              <w:jc w:val="left"/>
            </w:pPr>
            <w:r>
              <w:rPr>
                <w:rFonts w:ascii="Times New Roman" w:cs="Times New Roman" w:eastAsia="Times New Roman" w:hAnsi="Times New Roman"/>
                <w:color w:val="1F2937"/>
                <w:sz w:val="18"/>
                <w:szCs w:val="18"/>
              </w:rPr>
              <w:t xml:space="preserve">Sortie</w:t>
            </w:r>
          </w:p>
        </w:tc>
        <w:tc>
          <w:tcPr>
            <w:shd w:fill="FFFFFF" w:color="auto" w:val="clear"/>
            <w:tcMar>
              <w:top w:type="dxa" w:w="60"/>
              <w:left w:type="dxa" w:w="120"/>
              <w:bottom w:type="dxa" w:w="60"/>
              <w:right w:type="dxa" w:w="120"/>
            </w:tcMar>
          </w:tcPr>
          <w:p>
            <w:pPr>
              <w:jc w:val="left"/>
            </w:pPr>
            <w:r>
              <w:rPr>
                <w:rFonts w:ascii="Times New Roman" w:cs="Times New Roman" w:eastAsia="Times New Roman" w:hAnsi="Times New Roman"/>
                <w:color w:val="1F2937"/>
                <w:sz w:val="18"/>
                <w:szCs w:val="18"/>
              </w:rPr>
              <w:t xml:space="preserve">Capital, rente ou mixte</w:t>
            </w:r>
          </w:p>
        </w:tc>
        <w:tc>
          <w:tcPr>
            <w:shd w:fill="FFFFFF" w:color="auto" w:val="clear"/>
            <w:tcMar>
              <w:top w:type="dxa" w:w="60"/>
              <w:left w:type="dxa" w:w="120"/>
              <w:bottom w:type="dxa" w:w="60"/>
              <w:right w:type="dxa" w:w="120"/>
            </w:tcMar>
          </w:tcPr>
          <w:p>
            <w:pPr>
              <w:jc w:val="left"/>
            </w:pPr>
            <w:r>
              <w:rPr>
                <w:rFonts w:ascii="Times New Roman" w:cs="Times New Roman" w:eastAsia="Times New Roman" w:hAnsi="Times New Roman"/>
                <w:color w:val="1F2937"/>
                <w:sz w:val="18"/>
                <w:szCs w:val="18"/>
              </w:rPr>
              <w:t xml:space="preserve">Capital, rente (option)</w:t>
            </w:r>
          </w:p>
        </w:tc>
      </w:tr>
      <w:tr>
        <w:tc>
          <w:tcPr>
            <w:shd w:fill="EEF2F7" w:color="auto" w:val="clear"/>
            <w:tcMar>
              <w:top w:type="dxa" w:w="60"/>
              <w:left w:type="dxa" w:w="120"/>
              <w:bottom w:type="dxa" w:w="60"/>
              <w:right w:type="dxa" w:w="120"/>
            </w:tcMar>
          </w:tcPr>
          <w:p>
            <w:pPr>
              <w:jc w:val="left"/>
            </w:pPr>
            <w:r>
              <w:rPr>
                <w:rFonts w:ascii="Times New Roman" w:cs="Times New Roman" w:eastAsia="Times New Roman" w:hAnsi="Times New Roman"/>
                <w:color w:val="1F2937"/>
                <w:sz w:val="18"/>
                <w:szCs w:val="18"/>
              </w:rPr>
              <w:t xml:space="preserve">Succession</w:t>
            </w:r>
          </w:p>
        </w:tc>
        <w:tc>
          <w:tcPr>
            <w:shd w:fill="EEF2F7" w:color="auto" w:val="clear"/>
            <w:tcMar>
              <w:top w:type="dxa" w:w="60"/>
              <w:left w:type="dxa" w:w="120"/>
              <w:bottom w:type="dxa" w:w="60"/>
              <w:right w:type="dxa" w:w="120"/>
            </w:tcMar>
          </w:tcPr>
          <w:p>
            <w:pPr>
              <w:jc w:val="left"/>
            </w:pPr>
            <w:r>
              <w:rPr>
                <w:rFonts w:ascii="Times New Roman" w:cs="Times New Roman" w:eastAsia="Times New Roman" w:hAnsi="Times New Roman"/>
                <w:color w:val="1F2937"/>
                <w:sz w:val="18"/>
                <w:szCs w:val="18"/>
              </w:rPr>
              <w:t xml:space="preserve">Régime AV si décès avant retraite</w:t>
            </w:r>
          </w:p>
        </w:tc>
        <w:tc>
          <w:tcPr>
            <w:shd w:fill="EEF2F7" w:color="auto" w:val="clear"/>
            <w:tcMar>
              <w:top w:type="dxa" w:w="60"/>
              <w:left w:type="dxa" w:w="120"/>
              <w:bottom w:type="dxa" w:w="60"/>
              <w:right w:type="dxa" w:w="120"/>
            </w:tcMar>
          </w:tcPr>
          <w:p>
            <w:pPr>
              <w:jc w:val="left"/>
            </w:pPr>
            <w:r>
              <w:rPr>
                <w:rFonts w:ascii="Times New Roman" w:cs="Times New Roman" w:eastAsia="Times New Roman" w:hAnsi="Times New Roman"/>
                <w:color w:val="1F2937"/>
                <w:sz w:val="18"/>
                <w:szCs w:val="18"/>
              </w:rPr>
              <w:t xml:space="preserve">Clause bénéficiaire, abattements</w:t>
            </w:r>
          </w:p>
        </w:tc>
      </w:tr>
    </w:tbl>
    <w:p>
      <w:pPr>
        <w:spacing w:after="80"/>
      </w:pPr>
      <w:r>
        <w:t xml:space="preserve"/>
      </w:r>
    </w:p>
    <w:p>
      <w:pPr>
        <w:pBdr>
          <w:bottom w:val="single" w:color="1B3A6B" w:sz="6"/>
        </w:pBdr>
        <w:spacing w:after="120" w:before="300"/>
      </w:pPr>
      <w:r>
        <w:rPr>
          <w:rFonts w:ascii="Times New Roman" w:cs="Times New Roman" w:eastAsia="Times New Roman" w:hAnsi="Times New Roman"/>
          <w:b/>
          <w:bCs/>
          <w:color w:val="1B3A6B"/>
          <w:sz w:val="30"/>
          <w:szCs w:val="30"/>
        </w:rPr>
        <w:t xml:space="preserve">🛠️ Pratique (80 %) — Exercices d'apprentissage actif</w:t>
      </w:r>
    </w:p>
    <w:p>
      <w:pPr>
        <w:spacing w:after="80" w:before="200"/>
      </w:pPr>
      <w:r>
        <w:rPr>
          <w:rFonts w:ascii="Times New Roman" w:cs="Times New Roman" w:eastAsia="Times New Roman" w:hAnsi="Times New Roman"/>
          <w:b/>
          <w:bCs/>
          <w:color w:val="1F2937"/>
          <w:sz w:val="26"/>
          <w:szCs w:val="26"/>
        </w:rPr>
        <w:t xml:space="preserve">Exercice 1 — Calculer son économie d'impôt</w:t>
      </w:r>
    </w:p>
    <w:p>
      <w:pPr>
        <w:spacing w:after="100"/>
        <w:jc w:val="both"/>
      </w:pPr>
      <w:r>
        <w:rPr>
          <w:rFonts w:ascii="Times New Roman" w:cs="Times New Roman" w:eastAsia="Times New Roman" w:hAnsi="Times New Roman"/>
          <w:color w:val="1F2937"/>
          <w:sz w:val="22"/>
          <w:szCs w:val="22"/>
        </w:rPr>
        <w:t xml:space="preserve">Contexte : tu envisages de verser 3 000 € sur un PER individuel en 2026. Tu es salarié avec un TMI de 30 %.</w:t>
      </w:r>
    </w:p>
    <w:p>
      <w:pPr>
        <w:spacing w:after="100"/>
        <w:jc w:val="both"/>
      </w:pPr>
      <w:r>
        <w:rPr>
          <w:rFonts w:ascii="Times New Roman" w:cs="Times New Roman" w:eastAsia="Times New Roman" w:hAnsi="Times New Roman"/>
          <w:color w:val="1F2937"/>
          <w:sz w:val="22"/>
          <w:szCs w:val="22"/>
        </w:rPr>
        <w:t xml:space="preserve">Questions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a. Quelle est l'économie d'impôt réalisée cette année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b. Quel est le coût net réel de ce versement de 3 000 €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c. Si ton TMI était de 11 % au lieu de 30 %, quelle serait l'économie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d. À partir de quel TMI la déduction devient-elle vraiment intéressante selon toi ? Argumentez.</w:t>
      </w:r>
    </w:p>
    <w:p>
      <w:pPr>
        <w:spacing w:after="80"/>
      </w:pPr>
      <w:r>
        <w:t xml:space="preserve"/>
      </w:r>
    </w:p>
    <w:p>
      <w:pPr>
        <w:pBdr>
          <w:left w:val="thick" w:color="1B3A6B" w:sz="12"/>
        </w:pBdr>
        <w:shd w:fill="F3F4F6" w:color="auto" w:val="clear"/>
        <w:spacing w:after="120" w:before="100"/>
        <w:ind w:left="200" w:right="200"/>
      </w:pPr>
      <w:r>
        <w:rPr>
          <w:rFonts w:ascii="Times New Roman" w:cs="Times New Roman" w:eastAsia="Times New Roman" w:hAnsi="Times New Roman"/>
          <w:i w:val="false"/>
          <w:iCs w:val="false"/>
          <w:color w:val="1B3A6B"/>
          <w:sz w:val="22"/>
          <w:szCs w:val="22"/>
        </w:rPr>
        <w:t xml:space="preserve">Corrigé — a. Économie = 3 000 € × 30 % = 900 €. b. Coût net = 3 000 € − 900 € = 2 100 €. c. Économie à 11 % = 3 000 € × 11 % = 330 €. d. Réflexion ouverte : l'avantage est mécaniquement plus fort aux TMI 30 %, 41 % ou 45 %. Aux TMI 11 %, le gain immédiat est limité — il peut être judicieux d'évaluer si renoncer à la déduction (versements non déduits) offre un meilleur équilibre fiscal à la sortie selon le TMI prévisible à la retraite.</w:t>
      </w:r>
    </w:p>
    <w:p>
      <w:pPr>
        <w:spacing w:after="80"/>
      </w:pPr>
      <w:r>
        <w:t xml:space="preserve"/>
      </w:r>
    </w:p>
    <w:p>
      <w:pPr>
        <w:spacing w:after="80" w:before="200"/>
      </w:pPr>
      <w:r>
        <w:rPr>
          <w:rFonts w:ascii="Times New Roman" w:cs="Times New Roman" w:eastAsia="Times New Roman" w:hAnsi="Times New Roman"/>
          <w:b/>
          <w:bCs/>
          <w:color w:val="1F2937"/>
          <w:sz w:val="26"/>
          <w:szCs w:val="26"/>
        </w:rPr>
        <w:t xml:space="preserve">Exercice 2 — Capital ou rente ? Analyse comparative</w:t>
      </w:r>
    </w:p>
    <w:p>
      <w:pPr>
        <w:spacing w:after="100"/>
        <w:jc w:val="both"/>
      </w:pPr>
      <w:r>
        <w:rPr>
          <w:rFonts w:ascii="Times New Roman" w:cs="Times New Roman" w:eastAsia="Times New Roman" w:hAnsi="Times New Roman"/>
          <w:color w:val="1F2937"/>
          <w:sz w:val="22"/>
          <w:szCs w:val="22"/>
        </w:rPr>
        <w:t xml:space="preserve">Contexte : à la retraite, tu disposes de 80 000 € dans un PER (versements déduits). Deux options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Option A : Sortie en capital en une fois</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Option B : Sortie en rente viagère estimée à 280 €/mois</w:t>
      </w:r>
    </w:p>
    <w:p>
      <w:pPr>
        <w:spacing w:after="100"/>
        <w:jc w:val="both"/>
      </w:pPr>
      <w:r>
        <w:rPr>
          <w:rFonts w:ascii="Times New Roman" w:cs="Times New Roman" w:eastAsia="Times New Roman" w:hAnsi="Times New Roman"/>
          <w:color w:val="1F2937"/>
          <w:sz w:val="22"/>
          <w:szCs w:val="22"/>
        </w:rPr>
        <w:t xml:space="preserve">Questions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a. Quels sont les 2 principaux risques de l'option A (capital en une fois)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b. Quels sont les 2 avantages de la rente (option B) pour une personne avec un horizon de vie incertain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c. Dans quel cas la sortie fractionnée (capital versé sur 5 ans) pourrait-elle être préférable à ces deux options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d. Quelle question poseriez-vous à un conseiller pour choisir entre les deux ?</w:t>
      </w:r>
    </w:p>
    <w:p>
      <w:pPr>
        <w:spacing w:after="80"/>
      </w:pPr>
      <w:r>
        <w:t xml:space="preserve"/>
      </w:r>
    </w:p>
    <w:p>
      <w:pPr>
        <w:pBdr>
          <w:left w:val="thick" w:color="1B3A6B" w:sz="12"/>
        </w:pBdr>
        <w:shd w:fill="F3F4F6" w:color="auto" w:val="clear"/>
        <w:spacing w:after="120" w:before="100"/>
        <w:ind w:left="200" w:right="200"/>
      </w:pPr>
      <w:r>
        <w:rPr>
          <w:rFonts w:ascii="Times New Roman" w:cs="Times New Roman" w:eastAsia="Times New Roman" w:hAnsi="Times New Roman"/>
          <w:i w:val="false"/>
          <w:iCs w:val="false"/>
          <w:color w:val="1B3A6B"/>
          <w:sz w:val="22"/>
          <w:szCs w:val="22"/>
        </w:rPr>
        <w:t xml:space="preserve">Corrigé — a. Risques du capital en une fois : (1) forte imposition IR l'année de la sortie (montant élevé soumis au barème progressif) ; (2) risque de dépense trop rapide du capital. b. Avantages de la rente : (1) revenu garanti à vie, indépendamment de la durée de vie ; (2) prévisibilité budgétaire. c. La sortie fractionnée permet d'étaler la charge fiscale (chaque tranche est imposée séparément) et de lisser les retraits selon les besoins réels. d. Question type : « Compte tenu de mon TMI à la retraite et de mon espérance de vie estimée, à partir de combien d'années la rente devient-elle plus avantageuse financièrement que le capital ? »</w:t>
      </w:r>
    </w:p>
    <w:p>
      <w:pPr>
        <w:spacing w:after="80"/>
      </w:pPr>
      <w:r>
        <w:t xml:space="preserve"/>
      </w:r>
    </w:p>
    <w:p>
      <w:pPr>
        <w:spacing w:after="80" w:before="200"/>
      </w:pPr>
      <w:r>
        <w:rPr>
          <w:rFonts w:ascii="Times New Roman" w:cs="Times New Roman" w:eastAsia="Times New Roman" w:hAnsi="Times New Roman"/>
          <w:b/>
          <w:bCs/>
          <w:color w:val="1F2937"/>
          <w:sz w:val="26"/>
          <w:szCs w:val="26"/>
        </w:rPr>
        <w:t xml:space="preserve">Exercice 3 — Déduire ou ne pas déduire ?</w:t>
      </w:r>
    </w:p>
    <w:p>
      <w:pPr>
        <w:spacing w:after="100"/>
        <w:jc w:val="both"/>
      </w:pPr>
      <w:r>
        <w:rPr>
          <w:rFonts w:ascii="Times New Roman" w:cs="Times New Roman" w:eastAsia="Times New Roman" w:hAnsi="Times New Roman"/>
          <w:color w:val="1F2937"/>
          <w:sz w:val="22"/>
          <w:szCs w:val="22"/>
        </w:rPr>
        <w:t xml:space="preserve">Contexte : deux profils d'épargnants envisagent chacun de verser 2 000 €/an sur un PER.</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Profil A : TMI actuel 30 %, TMI prévisible à la retraite : 30 % (revenus fonciers importants)</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Profil B : TMI actuel 11 %, TMI prévisible à la retraite : 0 % ou 11 % (petite retraite)</w:t>
      </w:r>
    </w:p>
    <w:p>
      <w:pPr>
        <w:spacing w:after="100"/>
        <w:jc w:val="both"/>
      </w:pPr>
      <w:r>
        <w:rPr>
          <w:rFonts w:ascii="Times New Roman" w:cs="Times New Roman" w:eastAsia="Times New Roman" w:hAnsi="Times New Roman"/>
          <w:color w:val="1F2937"/>
          <w:sz w:val="22"/>
          <w:szCs w:val="22"/>
        </w:rPr>
        <w:t xml:space="preserve">Questions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a. Pour le Profil A, quel est l'intérêt (ou non) de déduire les versements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b. Pour le Profil B, pourquoi la déduction est-elle peu avantageuse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c. Pour le Profil B, quelle option alternative permettrait une sortie fiscalement plus légère ?</w:t>
      </w:r>
    </w:p>
    <w:p>
      <w:pPr>
        <w:spacing w:after="80"/>
      </w:pPr>
      <w:r>
        <w:t xml:space="preserve"/>
      </w:r>
    </w:p>
    <w:p>
      <w:pPr>
        <w:pBdr>
          <w:left w:val="thick" w:color="1B3A6B" w:sz="12"/>
        </w:pBdr>
        <w:shd w:fill="F3F4F6" w:color="auto" w:val="clear"/>
        <w:spacing w:after="120" w:before="100"/>
        <w:ind w:left="200" w:right="200"/>
      </w:pPr>
      <w:r>
        <w:rPr>
          <w:rFonts w:ascii="Times New Roman" w:cs="Times New Roman" w:eastAsia="Times New Roman" w:hAnsi="Times New Roman"/>
          <w:i w:val="false"/>
          <w:iCs w:val="false"/>
          <w:color w:val="1B3A6B"/>
          <w:sz w:val="22"/>
          <w:szCs w:val="22"/>
        </w:rPr>
        <w:t xml:space="preserve">Corrigé — a. Pour le Profil A : la déduction est peu avantageuse car le TMI restera identique à la retraite → il y a un différé fiscal, mais pas de gain net réel (l'économie à l'entrée est compensée par l'imposition à la sortie). Cela peut même être défavorable si la sortie en capital est imposée sans abattement. b. Pour le Profil B : le gain immédiat à l'entrée est faible (11 % d'économie = 220 €/an). c. Pour le Profil B : opter pour des versements NON déduits → à la sortie, la part capital est exonérée d'IR et de PS ; seules les plus-values subissent le PFU de 31,4 %.</w:t>
      </w:r>
    </w:p>
    <w:p>
      <w:pPr>
        <w:spacing w:after="80"/>
      </w:pPr>
      <w:r>
        <w:t xml:space="preserve"/>
      </w:r>
    </w:p>
    <w:p>
      <w:pPr>
        <w:pBdr>
          <w:bottom w:val="single" w:color="1B3A6B" w:sz="6"/>
        </w:pBdr>
        <w:spacing w:after="120" w:before="300"/>
      </w:pPr>
      <w:r>
        <w:rPr>
          <w:rFonts w:ascii="Times New Roman" w:cs="Times New Roman" w:eastAsia="Times New Roman" w:hAnsi="Times New Roman"/>
          <w:b/>
          <w:bCs/>
          <w:color w:val="1B3A6B"/>
          <w:sz w:val="30"/>
          <w:szCs w:val="30"/>
        </w:rPr>
        <w:t xml:space="preserve">🎯 Challenge — Exercice de synthèse</w:t>
      </w:r>
    </w:p>
    <w:p>
      <w:pPr>
        <w:spacing w:after="100"/>
        <w:jc w:val="both"/>
      </w:pPr>
      <w:r>
        <w:rPr>
          <w:rFonts w:ascii="Times New Roman" w:cs="Times New Roman" w:eastAsia="Times New Roman" w:hAnsi="Times New Roman"/>
          <w:color w:val="1F2937"/>
          <w:sz w:val="22"/>
          <w:szCs w:val="22"/>
        </w:rPr>
        <w:t xml:space="preserve">Situation complète : tu as 61 ans, TMI actuel 30 %, tu envisages de verser 4 000 €/an pendant 7 ans sur un PER individuel (versements déduits). À 68 ans, tu pars à la retraite avec un capital constitué estimé à 32 000 € (versements cumulés : 28 000 € + gains estimés : 4 000 €). À la retraite, ton TMI prévisible est de 11 %.</w:t>
      </w:r>
    </w:p>
    <w:p>
      <w:pPr>
        <w:spacing w:after="100"/>
        <w:jc w:val="both"/>
      </w:pPr>
      <w:r>
        <w:rPr>
          <w:rFonts w:ascii="Times New Roman" w:cs="Times New Roman" w:eastAsia="Times New Roman" w:hAnsi="Times New Roman"/>
          <w:color w:val="1F2937"/>
          <w:sz w:val="22"/>
          <w:szCs w:val="22"/>
        </w:rPr>
        <w:t xml:space="preserve">Questions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a. Économie fiscale totale réalisée pendant les 7 ans de versements (à TMI 30 %)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b. À la sortie, si tu optes pour le capital en une fois (versements déduits) : quelle est la base imposable au barème IR ? Quel est le taux applicable aux gains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c. Dans ce scénario (TMI 30 % pendant l'activité, 11 % à la retraite), la déduction est-elle avantageuse ? Pourquoi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d. Que changez-vous dans votre réflexion si le TMI à la retraite était finalement 30 % (revenus fonciers)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e. Citez deux questions que vous poseriez à un CGP avant de prendre une décision.</w:t>
      </w:r>
    </w:p>
    <w:p>
      <w:pPr>
        <w:spacing w:after="80"/>
      </w:pPr>
      <w:r>
        <w:t xml:space="preserve"/>
      </w:r>
    </w:p>
    <w:p>
      <w:pPr>
        <w:pBdr>
          <w:left w:val="thick" w:color="1B3A6B" w:sz="12"/>
        </w:pBdr>
        <w:shd w:fill="F3F4F6" w:color="auto" w:val="clear"/>
        <w:spacing w:after="120" w:before="100"/>
        <w:ind w:left="200" w:right="200"/>
      </w:pPr>
      <w:r>
        <w:rPr>
          <w:rFonts w:ascii="Times New Roman" w:cs="Times New Roman" w:eastAsia="Times New Roman" w:hAnsi="Times New Roman"/>
          <w:i w:val="false"/>
          <w:iCs w:val="false"/>
          <w:color w:val="1B3A6B"/>
          <w:sz w:val="22"/>
          <w:szCs w:val="22"/>
        </w:rPr>
        <w:t xml:space="preserve">Corrigé — a. Économie fiscale = 4 000 € × 30 % × 7 ans = 8 400 € d'économies cumulées. b. Base imposable au barème IR : 28 000 € (part capital correspondant aux versements déduits, imposée sans abattement). Gains 4 000 € : soumis au PFU 31,4 %. c. Dans ce scénario, l'avantage est réel : les versements ont bénéficié d'une déduction à 30 %, mais la sortie sera imposée à 11 % (barème IR, tranche basse). La différence représente un gain net de 19 points de TMI sur 28 000 €. d. Si le TMI reste à 30 % à la retraite : l'avantage est quasi nul sur la part capital (impôt différé, pas réduit). Il vaut la peine d'évaluer la sortie fractionnée ou une option non déductible. e. Questions à un CGP : « Quelle est mon TMI prévisible à la retraite compte tenu de tous mes revenus ? » et « Vaut-il mieux déduire maintenant ou opter pour des versements non déduits et une sortie allégée ? »</w:t>
      </w:r>
    </w:p>
    <w:p>
      <w:pPr>
        <w:spacing w:after="80"/>
      </w:pPr>
      <w:r>
        <w:t xml:space="preserve"/>
      </w:r>
    </w:p>
    <w:p>
      <w:pPr>
        <w:pBdr>
          <w:bottom w:val="single" w:color="1B3A6B" w:sz="6"/>
        </w:pBdr>
        <w:spacing w:after="120" w:before="300"/>
      </w:pPr>
      <w:r>
        <w:rPr>
          <w:rFonts w:ascii="Times New Roman" w:cs="Times New Roman" w:eastAsia="Times New Roman" w:hAnsi="Times New Roman"/>
          <w:b/>
          <w:bCs/>
          <w:color w:val="1B3A6B"/>
          <w:sz w:val="30"/>
          <w:szCs w:val="30"/>
        </w:rPr>
        <w:t xml:space="preserve">🌉 Pont professionnel (optionnel)</w:t>
      </w:r>
    </w:p>
    <w:p>
      <w:pPr>
        <w:pBdr>
          <w:left w:val="thick" w:color="1B3A6B" w:sz="12"/>
        </w:pBdr>
        <w:shd w:fill="F3F4F6" w:color="auto" w:val="clear"/>
        <w:spacing w:after="120" w:before="100"/>
        <w:ind w:left="200" w:right="200"/>
      </w:pPr>
      <w:r>
        <w:rPr>
          <w:rFonts w:ascii="Times New Roman" w:cs="Times New Roman" w:eastAsia="Times New Roman" w:hAnsi="Times New Roman"/>
          <w:i/>
          <w:iCs/>
          <w:color w:val="1B3A6B"/>
          <w:sz w:val="22"/>
          <w:szCs w:val="22"/>
        </w:rPr>
        <w:t xml:space="preserve">En tant que chef de service en ESSMS, tu peux côtoyer des personnes accompagnées sous mesure de protection (tutelle, curatelle). Le PER est un produit d'épargne retraite réglementé : sa souscription pour une personne sous tutelle requiert l'autorisation du juge des tutelles. Dans une logique de droits et d'autodétermination (RBPP HAS), il est utile de savoir que des dispositifs d'épargne existent pour les adultes protégés, même si leur mise en œuvre relève du mandataire judiciaire ou du tuteur légal.</w:t>
      </w:r>
    </w:p>
    <w:p>
      <w:pPr>
        <w:spacing w:after="80"/>
      </w:pPr>
      <w:r>
        <w:t xml:space="preserve"/>
      </w:r>
    </w:p>
    <w:p>
      <w:pPr>
        <w:pBdr>
          <w:bottom w:val="single" w:color="1B3A6B" w:sz="6"/>
        </w:pBdr>
        <w:spacing w:after="120" w:before="300"/>
      </w:pPr>
      <w:r>
        <w:rPr>
          <w:rFonts w:ascii="Times New Roman" w:cs="Times New Roman" w:eastAsia="Times New Roman" w:hAnsi="Times New Roman"/>
          <w:b/>
          <w:bCs/>
          <w:color w:val="1B3A6B"/>
          <w:sz w:val="30"/>
          <w:szCs w:val="30"/>
        </w:rPr>
        <w:t xml:space="preserve">📚 Ressources cliquables — Pour approfondir</w:t>
      </w:r>
    </w:p>
    <w:p>
      <w:pPr>
        <w:spacing w:after="100"/>
        <w:jc w:val="both"/>
      </w:pPr>
      <w:r>
        <w:rPr>
          <w:rFonts w:ascii="Times New Roman" w:cs="Times New Roman" w:eastAsia="Times New Roman" w:hAnsi="Times New Roman"/>
          <w:b/>
          <w:bCs/>
          <w:color w:val="1F2937"/>
          <w:sz w:val="22"/>
          <w:szCs w:val="22"/>
        </w:rPr>
        <w:t xml:space="preserve">1. </w:t>
      </w:r>
      <w:hyperlink w:history="1" r:id="rId66nkttbau-wjw_kchd1gt">
        <w:r>
          <w:rPr>
            <w:rFonts w:ascii="Times New Roman" w:cs="Times New Roman" w:eastAsia="Times New Roman" w:hAnsi="Times New Roman"/>
            <w:color w:val="1155CC"/>
            <w:sz w:val="22"/>
            <w:szCs w:val="22"/>
            <w:u w:val="single"/>
          </w:rPr>
          <w:t xml:space="preserve">Plan d'Épargne Retraite (PER) — Service-Public.fr</w:t>
        </w:r>
      </w:hyperlink>
      <w:r>
        <w:rPr>
          <w:rFonts w:ascii="Times New Roman" w:cs="Times New Roman" w:eastAsia="Times New Roman" w:hAnsi="Times New Roman"/>
          <w:color w:val="1F2937"/>
          <w:sz w:val="22"/>
          <w:szCs w:val="22"/>
        </w:rPr>
        <w:t xml:space="preserve"> — Conditions, versements, fiscalité à l'entrée et à la sortie, transfert. Source officielle (Premier ministre / Ministère des finances).</w:t>
      </w:r>
    </w:p>
    <w:p>
      <w:pPr>
        <w:spacing w:after="100"/>
        <w:jc w:val="both"/>
      </w:pPr>
      <w:r>
        <w:rPr>
          <w:rFonts w:ascii="Times New Roman" w:cs="Times New Roman" w:eastAsia="Times New Roman" w:hAnsi="Times New Roman"/>
          <w:b/>
          <w:bCs/>
          <w:color w:val="1F2937"/>
          <w:sz w:val="22"/>
          <w:szCs w:val="22"/>
        </w:rPr>
        <w:t xml:space="preserve">2. </w:t>
      </w:r>
      <w:hyperlink w:history="1" r:id="rIdsfgqnlqqthasur-tagemg">
        <w:r>
          <w:rPr>
            <w:rFonts w:ascii="Times New Roman" w:cs="Times New Roman" w:eastAsia="Times New Roman" w:hAnsi="Times New Roman"/>
            <w:color w:val="1155CC"/>
            <w:sz w:val="22"/>
            <w:szCs w:val="22"/>
            <w:u w:val="single"/>
          </w:rPr>
          <w:t xml:space="preserve">Fiscalité du PER — La Finance pour Tous</w:t>
        </w:r>
      </w:hyperlink>
      <w:r>
        <w:rPr>
          <w:rFonts w:ascii="Times New Roman" w:cs="Times New Roman" w:eastAsia="Times New Roman" w:hAnsi="Times New Roman"/>
          <w:color w:val="1F2937"/>
          <w:sz w:val="22"/>
          <w:szCs w:val="22"/>
        </w:rPr>
        <w:t xml:space="preserve"> — Déduction à l'entrée, imposition à la sortie (capital vs rente), stratégie fiscale. Source pédagogique et neutre (IEFP).</w:t>
      </w:r>
    </w:p>
    <w:p>
      <w:pPr>
        <w:spacing w:after="100"/>
        <w:jc w:val="both"/>
      </w:pPr>
      <w:r>
        <w:rPr>
          <w:rFonts w:ascii="Times New Roman" w:cs="Times New Roman" w:eastAsia="Times New Roman" w:hAnsi="Times New Roman"/>
          <w:b/>
          <w:bCs/>
          <w:color w:val="1F2937"/>
          <w:sz w:val="22"/>
          <w:szCs w:val="22"/>
        </w:rPr>
        <w:t xml:space="preserve">3. </w:t>
      </w:r>
      <w:hyperlink w:history="1" r:id="rIdk4lxmouqhj9ft-w-jdoow">
        <w:r>
          <w:rPr>
            <w:rFonts w:ascii="Times New Roman" w:cs="Times New Roman" w:eastAsia="Times New Roman" w:hAnsi="Times New Roman"/>
            <w:color w:val="1155CC"/>
            <w:sz w:val="22"/>
            <w:szCs w:val="22"/>
            <w:u w:val="single"/>
          </w:rPr>
          <w:t xml:space="preserve">Épargne retraite — Impots.gouv.fr</w:t>
        </w:r>
      </w:hyperlink>
      <w:r>
        <w:rPr>
          <w:rFonts w:ascii="Times New Roman" w:cs="Times New Roman" w:eastAsia="Times New Roman" w:hAnsi="Times New Roman"/>
          <w:color w:val="1F2937"/>
          <w:sz w:val="22"/>
          <w:szCs w:val="22"/>
        </w:rPr>
        <w:t xml:space="preserve"> — Plafonds de déduction 2026, règles d'imposition à la sortie, PFU. Source officielle DGFiP.</w:t>
      </w:r>
    </w:p>
    <w:p>
      <w:pPr>
        <w:spacing w:after="100"/>
        <w:jc w:val="both"/>
      </w:pPr>
      <w:r>
        <w:rPr>
          <w:rFonts w:ascii="Times New Roman" w:cs="Times New Roman" w:eastAsia="Times New Roman" w:hAnsi="Times New Roman"/>
          <w:b/>
          <w:bCs/>
          <w:color w:val="1F2937"/>
          <w:sz w:val="22"/>
          <w:szCs w:val="22"/>
        </w:rPr>
        <w:t xml:space="preserve">4. </w:t>
      </w:r>
      <w:hyperlink w:history="1" r:id="rIdtr_nhgf52ucfp3wgecqwn">
        <w:r>
          <w:rPr>
            <w:rFonts w:ascii="Times New Roman" w:cs="Times New Roman" w:eastAsia="Times New Roman" w:hAnsi="Times New Roman"/>
            <w:color w:val="1155CC"/>
            <w:sz w:val="22"/>
            <w:szCs w:val="22"/>
            <w:u w:val="single"/>
          </w:rPr>
          <w:t xml:space="preserve">Transfert des anciens contrats vers le PER — La Finance pour Tous</w:t>
        </w:r>
      </w:hyperlink>
      <w:r>
        <w:rPr>
          <w:rFonts w:ascii="Times New Roman" w:cs="Times New Roman" w:eastAsia="Times New Roman" w:hAnsi="Times New Roman"/>
          <w:color w:val="1F2937"/>
          <w:sz w:val="22"/>
          <w:szCs w:val="22"/>
        </w:rPr>
        <w:t xml:space="preserve"> — Conditions de transfert, frais, avantages de la bascule depuis PERP/Madelin.</w:t>
      </w:r>
    </w:p>
    <w:p>
      <w:pPr>
        <w:spacing w:after="100"/>
        <w:jc w:val="both"/>
      </w:pPr>
      <w:r>
        <w:rPr>
          <w:rFonts w:ascii="Times New Roman" w:cs="Times New Roman" w:eastAsia="Times New Roman" w:hAnsi="Times New Roman"/>
          <w:b/>
          <w:bCs/>
          <w:color w:val="1F2937"/>
          <w:sz w:val="22"/>
          <w:szCs w:val="22"/>
        </w:rPr>
        <w:t xml:space="preserve">5. </w:t>
      </w:r>
      <w:hyperlink w:history="1" r:id="rIdw56ioaeqc8hn-63radxxt">
        <w:r>
          <w:rPr>
            <w:rFonts w:ascii="Times New Roman" w:cs="Times New Roman" w:eastAsia="Times New Roman" w:hAnsi="Times New Roman"/>
            <w:color w:val="1155CC"/>
            <w:sz w:val="22"/>
            <w:szCs w:val="22"/>
            <w:u w:val="single"/>
          </w:rPr>
          <w:t xml:space="preserve">Questions-réponses PER pour les épargnants — Direction générale du Trésor</w:t>
        </w:r>
      </w:hyperlink>
      <w:r>
        <w:rPr>
          <w:rFonts w:ascii="Times New Roman" w:cs="Times New Roman" w:eastAsia="Times New Roman" w:hAnsi="Times New Roman"/>
          <w:color w:val="1F2937"/>
          <w:sz w:val="22"/>
          <w:szCs w:val="22"/>
        </w:rPr>
        <w:t xml:space="preserve"> — Q/R officiel sur le PER issu de la loi PACTE.</w:t>
      </w:r>
    </w:p>
    <w:p>
      <w:pPr>
        <w:spacing w:after="80"/>
      </w:pPr>
      <w:r>
        <w:t xml:space="preserve"/>
      </w:r>
    </w:p>
    <w:p>
      <w:pPr>
        <w:spacing w:after="100"/>
        <w:jc w:val="both"/>
      </w:pPr>
      <w:r>
        <w:rPr>
          <w:rFonts w:ascii="Times New Roman" w:cs="Times New Roman" w:eastAsia="Times New Roman" w:hAnsi="Times New Roman"/>
          <w:color w:val="1F2937"/>
          <w:sz w:val="22"/>
          <w:szCs w:val="22"/>
        </w:rPr>
        <w:t xml:space="preserve">⛔ Sources inaccessibles lors de cette exécution : abe-infoservice.fr (403), economie.gouv.fr/particuliers (403), amf-france.org/espace-epargnants (404).</w:t>
      </w:r>
    </w:p>
    <w:p>
      <w:pPr>
        <w:spacing w:after="80"/>
      </w:pPr>
      <w:r>
        <w:t xml:space="preserve"/>
      </w:r>
    </w:p>
    <w:p>
      <w:pPr>
        <w:pBdr>
          <w:bottom w:val="single" w:color="1B3A6B" w:sz="6"/>
        </w:pBdr>
        <w:spacing w:after="120" w:before="300"/>
      </w:pPr>
      <w:r>
        <w:rPr>
          <w:rFonts w:ascii="Times New Roman" w:cs="Times New Roman" w:eastAsia="Times New Roman" w:hAnsi="Times New Roman"/>
          <w:b/>
          <w:bCs/>
          <w:color w:val="1B3A6B"/>
          <w:sz w:val="30"/>
          <w:szCs w:val="30"/>
        </w:rPr>
        <w:t xml:space="preserve">👤 Pour aller plus loin avec un professionnel agréé</w:t>
      </w:r>
    </w:p>
    <w:p>
      <w:pPr>
        <w:spacing w:after="100"/>
        <w:jc w:val="both"/>
      </w:pPr>
      <w:r>
        <w:rPr>
          <w:rFonts w:ascii="Times New Roman" w:cs="Times New Roman" w:eastAsia="Times New Roman" w:hAnsi="Times New Roman"/>
          <w:color w:val="1F2937"/>
          <w:sz w:val="22"/>
          <w:szCs w:val="22"/>
        </w:rPr>
        <w:t xml:space="preserve">Questions concrètes à poser à un conseiller en gestion de patrimoine (CGP) ou un CIF agréé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1. « Compte tenu de mes revenus actuels et prévisionnels à la retraite, quel est mon TMI aujourd'hui et quel sera-t-il à la liquidation ? La déduction à l'entrée est-elle réellement avantageuse pour moi ?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2. « Vaut-il mieux opter pour une sortie en capital (fractionnée ou en une fois), une rente, ou un mixte — en tenant compte de ma situation patrimoniale globale et de mon espérance de vie ?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3. « Dois-je envisager un transfert de mes anciens produits (PERP ou assurance-vie excédentaire) vers un PER, et dans quel délai pour optimiser la déduction sur mes années d'activité restantes ? »</w:t>
      </w:r>
    </w:p>
    <w:p>
      <w:pPr>
        <w:spacing w:after="80"/>
      </w:pPr>
      <w:r>
        <w:t xml:space="preserve"/>
      </w:r>
    </w:p>
    <w:p>
      <w:pPr>
        <w:pBdr>
          <w:bottom w:val="single" w:color="1B3A6B" w:sz="6"/>
        </w:pBdr>
        <w:spacing w:after="120" w:before="300"/>
      </w:pPr>
      <w:r>
        <w:rPr>
          <w:rFonts w:ascii="Times New Roman" w:cs="Times New Roman" w:eastAsia="Times New Roman" w:hAnsi="Times New Roman"/>
          <w:b/>
          <w:bCs/>
          <w:color w:val="1B3A6B"/>
          <w:sz w:val="30"/>
          <w:szCs w:val="30"/>
        </w:rPr>
        <w:t xml:space="preserve">🔜 Prochaine leçon — n°08</w:t>
      </w:r>
    </w:p>
    <w:p>
      <w:pPr>
        <w:pBdr>
          <w:left w:val="thick" w:color="1B3A6B" w:sz="12"/>
        </w:pBdr>
        <w:shd w:fill="F3F4F6" w:color="auto" w:val="clear"/>
        <w:spacing w:after="120" w:before="100"/>
        <w:ind w:left="200" w:right="200"/>
      </w:pPr>
      <w:r>
        <w:rPr>
          <w:rFonts w:ascii="Times New Roman" w:cs="Times New Roman" w:eastAsia="Times New Roman" w:hAnsi="Times New Roman"/>
          <w:i/>
          <w:iCs/>
          <w:color w:val="1B3A6B"/>
          <w:sz w:val="22"/>
          <w:szCs w:val="22"/>
        </w:rPr>
        <w:t xml:space="preserve">Leçon 08 : Immobilier et « pierre-papier » (SCPI) — Principes, liquidité, frais et risques
Tu découvriras comment investir dans l'immobilier sans gérer un bien en direct, via les Sociétés Civiles de Placement Immobilier (SCPI). Nous analyserons les rendements historiques, les frais (souvent élevés), la liquidité (souvent limitée) et les risques spécifiques à ce support, ainsi que sa place dans une allocation à horizon 7-8 ans.</w:t>
      </w:r>
      <w:r>
        <w:rPr>
          <w:rFonts w:ascii="Times New Roman" w:cs="Times New Roman" w:eastAsia="Times New Roman" w:hAnsi="Times New Roman"/>
          <w:i/>
          <w:iCs/>
          <w:color w:val="6B7280"/>
          <w:sz w:val="20"/>
          <w:szCs w:val="20"/>
        </w:rPr>
        <w:t xml:space="preserve"> Thèmes annoncés : immobilier, pierre-papier, SCPI, liquidité, frais, risques, rendements historiques. [Ajouté le 26/09/2026 : cette ligne nomme, dans les termes de cette section même, ce que la leçon suivante devra traiter ou déclarer non traité. Elle est la condition du contrôle de continuité ajouté ce jour au prompt : sans elle, la leçon suivante ne peut pas être contrôlée sur ce qu'on lui a promis — c'est ce qui est arrivé entre la n°15 et la n°16.]</w:t>
      </w:r>
    </w:p>
    <w:p>
      <w:pPr>
        <w:spacing w:after="80"/>
      </w:pPr>
      <w:r>
        <w:t xml:space="preserve"/>
      </w:r>
    </w:p>
    <w:p>
      <w:pPr>
        <w:spacing w:after="100"/>
        <w:jc w:val="center"/>
      </w:pPr>
      <w:r>
        <w:rPr>
          <w:rFonts w:ascii="Times New Roman" w:cs="Times New Roman" w:eastAsia="Times New Roman" w:hAnsi="Times New Roman"/>
          <w:color w:val="1B3A6B"/>
          <w:sz w:val="22"/>
          <w:szCs w:val="22"/>
        </w:rPr>
        <w:t xml:space="preserve">─────────────────────────────────────────────────────</w:t>
      </w:r>
    </w:p>
    <w:p>
      <w:pPr>
        <w:spacing w:after="100"/>
        <w:jc w:val="center"/>
      </w:pPr>
      <w:r>
        <w:rPr>
          <w:rFonts w:ascii="Times New Roman" w:cs="Times New Roman" w:eastAsia="Times New Roman" w:hAnsi="Times New Roman"/>
          <w:i/>
          <w:iCs/>
          <w:color w:val="1F2937"/>
          <w:sz w:val="22"/>
          <w:szCs w:val="22"/>
        </w:rPr>
        <w:t xml:space="preserve">Leçon Placement financier n°07 · 25 juillet 2026 · Éducation financière personnelle — Sans valeur de conseil en investissement · Risque de perte en capital sur les UC</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6nkttbau-wjw_kchd1gt" Type="http://schemas.openxmlformats.org/officeDocument/2006/relationships/hyperlink" Target="https://www.service-public.gouv.fr/particuliers/vosdroits/F34982" TargetMode="External"/><Relationship Id="rIdsfgqnlqqthasur-tagemg" Type="http://schemas.openxmlformats.org/officeDocument/2006/relationships/hyperlink" Target="https://www.lafinancepourtous.com/pratique/impots/fiscalite-de-l-epargne-2/fiscalite-du-plan-depargne-retraite-per/" TargetMode="External"/><Relationship Id="rIdk4lxmouqhj9ft-w-jdoow" Type="http://schemas.openxmlformats.org/officeDocument/2006/relationships/hyperlink" Target="https://www.impots.gouv.fr/particulier/epargne-retraite" TargetMode="External"/><Relationship Id="rIdtr_nhgf52ucfp3wgecqwn" Type="http://schemas.openxmlformats.org/officeDocument/2006/relationships/hyperlink" Target="https://www.lafinancepourtous.com/pratique/retraite/epargne-retraite/le-plan-depargne-retraite/per-le-transfert-des-anciens-contrats/" TargetMode="External"/><Relationship Id="rIdw56ioaeqc8hn-63radxxt" Type="http://schemas.openxmlformats.org/officeDocument/2006/relationships/hyperlink" Target="https://www.tresor.economie.gouv.fr/banque-assurance-finance/les-mesures-de-la-loi-pacte-pour-le-financement-de-l-economie/questions-reponses-le-nouveau-per-pour-les-epargnants"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2026-07-25T06:08:12.950Z</dcterms:created>
  <dcterms:modified xsi:type="dcterms:W3CDTF">2026-07-25T06:08:13.429Z</dcterms:modified>
</cp:coreProperties>
</file>

<file path=docProps/custom.xml><?xml version="1.0" encoding="utf-8"?>
<Properties xmlns="http://schemas.openxmlformats.org/officeDocument/2006/custom-properties" xmlns:vt="http://schemas.openxmlformats.org/officeDocument/2006/docPropsVTypes"/>
</file>