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jc w:val="center"/>
      </w:pPr>
      <w:r>
        <w:rPr>
          <w:rFonts w:ascii="Times New Roman" w:cs="Times New Roman" w:eastAsia="Times New Roman" w:hAnsi="Times New Roman"/>
          <w:b/>
          <w:bCs/>
          <w:color w:val="1B3A6B"/>
          <w:sz w:val="52"/>
          <w:szCs w:val="52"/>
        </w:rPr>
        <w:t xml:space="preserve">Leçon Placement financier n°12</w:t>
      </w:r>
    </w:p>
    <w:p>
      <w:pPr>
        <w:pStyle w:val="Heading1"/>
        <w:spacing w:after="200" w:before="200"/>
        <w:jc w:val="center"/>
      </w:pPr>
      <w:r>
        <w:rPr>
          <w:rFonts w:ascii="Times New Roman" w:cs="Times New Roman" w:eastAsia="Times New Roman" w:hAnsi="Times New Roman"/>
          <w:b/>
          <w:bCs/>
          <w:color w:val="1B3A6B"/>
          <w:sz w:val="52"/>
          <w:szCs w:val="52"/>
        </w:rPr>
        <w:t xml:space="preserve">Obligations et fonds obligataires</w:t>
      </w:r>
    </w:p>
    <w:p>
      <w:pPr>
        <w:spacing w:after="120"/>
      </w:pPr>
      <w:r>
        <w:rPr>
          <w:rFonts w:ascii="Times New Roman" w:cs="Times New Roman" w:eastAsia="Times New Roman" w:hAnsi="Times New Roman"/>
          <w:b/>
          <w:bCs/>
          <w:color w:val="1F2937"/>
          <w:sz w:val="22"/>
          <w:szCs w:val="22"/>
        </w:rPr>
        <w:t xml:space="preserve">Date : 29 août 2026  |  Leçon 12 / 20</w:t>
      </w:r>
    </w:p>
    <w:p>
      <w:pPr>
        <w:spacing w:after="120"/>
      </w:pPr>
      <w:r>
        <w:rPr>
          <w:rFonts w:ascii="Times New Roman" w:cs="Times New Roman" w:eastAsia="Times New Roman" w:hAnsi="Times New Roman"/>
          <w:i/>
          <w:iCs/>
          <w:color w:val="1F2937"/>
          <w:sz w:val="22"/>
          <w:szCs w:val="22"/>
        </w:rPr>
        <w:t xml:space="preserve">Parcours : Éducation financière personnelle — du fondamental à l'avancé</w:t>
      </w:r>
    </w:p>
    <w:p>
      <w:pPr>
        <w:spacing w:after="160" w:before="160"/>
      </w:pPr>
      <w:r>
        <w:rPr>
          <w:rFonts w:ascii="Times New Roman" w:cs="Times New Roman" w:eastAsia="Times New Roman" w:hAnsi="Times New Roman"/>
          <w:color w:val="D1D5DB"/>
          <w:sz w:val="22"/>
          <w:szCs w:val="22"/>
        </w:rPr>
        <w:t xml:space="preserve">────────────────────────────────────────────────────</w:t>
      </w:r>
    </w:p>
    <w:p>
      <w:pPr>
        <w:pStyle w:val="Heading2"/>
        <w:spacing w:after="100" w:before="24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color w:val="1F2937"/>
          <w:sz w:val="22"/>
          <w:szCs w:val="22"/>
        </w:rPr>
        <w:t xml:space="preserve">À l'issue de cette leçon, tu sauras :</w:t>
      </w:r>
    </w:p>
    <w:p>
      <w:pPr>
        <w:pStyle w:val="ListParagraph"/>
        <w:numPr>
          <w:ilvl w:val="0"/>
          <w:numId w:val="1"/>
        </w:numPr>
        <w:spacing w:after="60"/>
        <w:ind w:left="720"/>
      </w:pPr>
      <w:r>
        <w:rPr>
          <w:rFonts w:ascii="Times New Roman" w:cs="Times New Roman" w:eastAsia="Times New Roman" w:hAnsi="Times New Roman"/>
          <w:color w:val="1F2937"/>
          <w:sz w:val="22"/>
          <w:szCs w:val="22"/>
        </w:rPr>
        <w:t xml:space="preserve">Expliquer ce qu'est une obligation et comment elle fonctionne (émetteur, coupon, maturité, prix).</w:t>
      </w:r>
    </w:p>
    <w:p>
      <w:pPr>
        <w:pStyle w:val="ListParagraph"/>
        <w:numPr>
          <w:ilvl w:val="0"/>
          <w:numId w:val="1"/>
        </w:numPr>
        <w:spacing w:after="60"/>
        <w:ind w:left="720"/>
      </w:pPr>
      <w:r>
        <w:rPr>
          <w:rFonts w:ascii="Times New Roman" w:cs="Times New Roman" w:eastAsia="Times New Roman" w:hAnsi="Times New Roman"/>
          <w:color w:val="1F2937"/>
          <w:sz w:val="22"/>
          <w:szCs w:val="22"/>
        </w:rPr>
        <w:t xml:space="preserve">Calculer le rendement courant d'une obligation et comprendre la relation inverse taux/prix.</w:t>
      </w:r>
    </w:p>
    <w:p>
      <w:pPr>
        <w:pStyle w:val="ListParagraph"/>
        <w:numPr>
          <w:ilvl w:val="0"/>
          <w:numId w:val="1"/>
        </w:numPr>
        <w:spacing w:after="60"/>
        <w:ind w:left="720"/>
      </w:pPr>
      <w:r>
        <w:rPr>
          <w:rFonts w:ascii="Times New Roman" w:cs="Times New Roman" w:eastAsia="Times New Roman" w:hAnsi="Times New Roman"/>
          <w:color w:val="1F2937"/>
          <w:sz w:val="22"/>
          <w:szCs w:val="22"/>
        </w:rPr>
        <w:t xml:space="preserve">Identifier les principaux risques obligataires et distinguer les voies d'accès pour un particulier (direct, fonds, ETF).</w:t>
      </w:r>
    </w:p>
    <w:p>
      <w:pPr>
        <w:spacing w:after="120"/>
      </w:pPr>
      <w:r>
        <w:rPr>
          <w:rFonts w:ascii="Times New Roman" w:cs="Times New Roman" w:eastAsia="Times New Roman" w:hAnsi="Times New Roman"/>
          <w:b/>
          <w:bCs/>
          <w:color w:val="1F2937"/>
          <w:sz w:val="22"/>
          <w:szCs w:val="22"/>
        </w:rPr>
        <w:t xml:space="preserve">Lien avec la leçon précédente (n°11 — Épargne salariale) : </w:t>
      </w:r>
      <w:r>
        <w:rPr>
          <w:rFonts w:ascii="Times New Roman" w:cs="Times New Roman" w:eastAsia="Times New Roman" w:hAnsi="Times New Roman"/>
          <w:color w:val="1F2937"/>
          <w:sz w:val="22"/>
          <w:szCs w:val="22"/>
        </w:rPr>
        <w:t xml:space="preserve">après avoir exploré les enveloppes collectives d'entreprise (PEE, PERECO), tu passes maintenant à une classe d'actifs spécifique : les titres de créance. Les fonds obligataires sont souvent proposés comme supports « prudents » dans les PEE, PERECO et l'assurance-vie. Cette leçon te permettra de comprendre ce que tu détiens réellement quand tu coches la case « fonds obligataires » dans ton épargne salariale ou ton contrat d'assurance-vie.</w:t>
      </w:r>
    </w:p>
    <w:p>
      <w:pPr>
        <w:shd w:fill="F3F4F6" w:color="F3F4F6" w:val="solid"/>
        <w:spacing w:after="140" w:before="80"/>
        <w:ind w:left="300" w:right="300"/>
      </w:pPr>
      <w:r>
        <w:rPr>
          <w:rFonts w:ascii="Times New Roman" w:cs="Times New Roman" w:eastAsia="Times New Roman" w:hAnsi="Times New Roman"/>
          <w:b w:val="false"/>
          <w:bCs w:val="false"/>
          <w:color w:val="1F2937"/>
          <w:sz w:val="22"/>
          <w:szCs w:val="22"/>
        </w:rPr>
        <w:t xml:space="preserve">⚖️ Rappel : cette leçon relève de l'éducation financière générale. Elle ne constitue en aucun cas un conseil en investissement personnalisé. Tout placement en obligations ou fonds obligataires comporte un </w:t>
      </w:r>
      <w:r>
        <w:rPr>
          <w:rFonts w:ascii="Times New Roman" w:cs="Times New Roman" w:eastAsia="Times New Roman" w:hAnsi="Times New Roman"/>
          <w:b/>
          <w:bCs/>
          <w:color w:val="1F2937"/>
          <w:sz w:val="22"/>
          <w:szCs w:val="22"/>
        </w:rPr>
        <w:t xml:space="preserve">risque de perte en capital</w:t>
      </w:r>
      <w:r>
        <w:rPr>
          <w:rFonts w:ascii="Times New Roman" w:cs="Times New Roman" w:eastAsia="Times New Roman" w:hAnsi="Times New Roman"/>
          <w:b w:val="false"/>
          <w:bCs w:val="false"/>
          <w:color w:val="1F2937"/>
          <w:sz w:val="22"/>
          <w:szCs w:val="22"/>
        </w:rPr>
        <w:t xml:space="preserve">. Pour toute décision, consulte un conseiller en gestion de patrimoine (CGP) ou un conseiller en investissements financiers (CIF) agréé AMF.</w:t>
      </w:r>
    </w:p>
    <w:p>
      <w:pPr>
        <w:spacing w:after="160" w:before="160"/>
      </w:pPr>
      <w:r>
        <w:rPr>
          <w:rFonts w:ascii="Times New Roman" w:cs="Times New Roman" w:eastAsia="Times New Roman" w:hAnsi="Times New Roman"/>
          <w:color w:val="D1D5DB"/>
          <w:sz w:val="22"/>
          <w:szCs w:val="22"/>
        </w:rPr>
        <w:t xml:space="preserve">────────────────────────────────────────────────────</w:t>
      </w:r>
    </w:p>
    <w:p>
      <w:pPr>
        <w:pStyle w:val="Heading2"/>
        <w:spacing w:after="100" w:before="240"/>
      </w:pPr>
      <w:r>
        <w:rPr>
          <w:rFonts w:ascii="Times New Roman" w:cs="Times New Roman" w:eastAsia="Times New Roman" w:hAnsi="Times New Roman"/>
          <w:b/>
          <w:bCs/>
          <w:color w:val="1B3A6B"/>
          <w:sz w:val="30"/>
          <w:szCs w:val="30"/>
        </w:rPr>
        <w:t xml:space="preserve">🔬 Théorie (20 %) — Qu'est-ce qu'une obligation ?</w:t>
      </w:r>
    </w:p>
    <w:p>
      <w:pPr>
        <w:pStyle w:val="Heading3"/>
        <w:spacing w:after="80" w:before="160"/>
      </w:pPr>
      <w:r>
        <w:rPr>
          <w:rFonts w:ascii="Times New Roman" w:cs="Times New Roman" w:eastAsia="Times New Roman" w:hAnsi="Times New Roman"/>
          <w:b/>
          <w:bCs/>
          <w:color w:val="1F2937"/>
          <w:sz w:val="26"/>
          <w:szCs w:val="26"/>
        </w:rPr>
        <w:t xml:space="preserve">1. Définition fondamentale</w:t>
      </w:r>
    </w:p>
    <w:p>
      <w:pPr>
        <w:spacing w:after="120"/>
      </w:pPr>
      <w:r>
        <w:rPr>
          <w:rFonts w:ascii="Times New Roman" w:cs="Times New Roman" w:eastAsia="Times New Roman" w:hAnsi="Times New Roman"/>
          <w:color w:val="1F2937"/>
          <w:sz w:val="22"/>
          <w:szCs w:val="22"/>
        </w:rPr>
        <w:t xml:space="preserve">Une obligation est </w:t>
      </w:r>
      <w:r>
        <w:rPr>
          <w:rFonts w:ascii="Times New Roman" w:cs="Times New Roman" w:eastAsia="Times New Roman" w:hAnsi="Times New Roman"/>
          <w:i/>
          <w:iCs/>
          <w:color w:val="1F2937"/>
          <w:sz w:val="22"/>
          <w:szCs w:val="22"/>
        </w:rPr>
        <w:t xml:space="preserve">un titre financier représentatif d'un emprunt émis par un État, une collectivité locale ou une entreprise</w:t>
      </w:r>
      <w:r>
        <w:rPr>
          <w:rFonts w:ascii="Times New Roman" w:cs="Times New Roman" w:eastAsia="Times New Roman" w:hAnsi="Times New Roman"/>
          <w:color w:val="1F2937"/>
          <w:sz w:val="22"/>
          <w:szCs w:val="22"/>
        </w:rPr>
        <w:t xml:space="preserve"> (définition : La Finance pour Tous, IEFP). Concrètement, quand tu achètes une obligation, tu prêtes de l'argent à l'émetteur. En échange, il s'engage à :</w:t>
      </w:r>
    </w:p>
    <w:p>
      <w:pPr>
        <w:pStyle w:val="ListParagraph"/>
        <w:numPr>
          <w:ilvl w:val="0"/>
          <w:numId w:val="1"/>
        </w:numPr>
        <w:spacing w:after="60"/>
        <w:ind w:left="720"/>
      </w:pPr>
      <w:r>
        <w:rPr>
          <w:rFonts w:ascii="Times New Roman" w:cs="Times New Roman" w:eastAsia="Times New Roman" w:hAnsi="Times New Roman"/>
          <w:color w:val="1F2937"/>
          <w:sz w:val="22"/>
          <w:szCs w:val="22"/>
        </w:rPr>
        <w:t xml:space="preserve">te verser périodiquement des intérêts (le coupon) ;</w:t>
      </w:r>
    </w:p>
    <w:p>
      <w:pPr>
        <w:pStyle w:val="ListParagraph"/>
        <w:numPr>
          <w:ilvl w:val="0"/>
          <w:numId w:val="1"/>
        </w:numPr>
        <w:spacing w:after="60"/>
        <w:ind w:left="720"/>
      </w:pPr>
      <w:r>
        <w:rPr>
          <w:rFonts w:ascii="Times New Roman" w:cs="Times New Roman" w:eastAsia="Times New Roman" w:hAnsi="Times New Roman"/>
          <w:color w:val="1F2937"/>
          <w:sz w:val="22"/>
          <w:szCs w:val="22"/>
        </w:rPr>
        <w:t xml:space="preserve">te rembourser le capital à l'échéance (la maturité).</w:t>
      </w:r>
    </w:p>
    <w:p>
      <w:pPr>
        <w:spacing w:after="120"/>
      </w:pPr>
      <w:r>
        <w:rPr>
          <w:rFonts w:ascii="Times New Roman" w:cs="Times New Roman" w:eastAsia="Times New Roman" w:hAnsi="Times New Roman"/>
          <w:i/>
          <w:iCs/>
          <w:color w:val="1F2937"/>
          <w:sz w:val="22"/>
          <w:szCs w:val="22"/>
        </w:rPr>
        <w:t xml:space="preserve">Contrairement à une action, une obligation ne confère aucun droit de vote ni participation aux bénéfices. C'est un contrat de dette.</w:t>
      </w:r>
    </w:p>
    <w:p>
      <w:pPr>
        <w:pStyle w:val="Heading3"/>
        <w:spacing w:after="80" w:before="160"/>
      </w:pPr>
      <w:r>
        <w:rPr>
          <w:rFonts w:ascii="Times New Roman" w:cs="Times New Roman" w:eastAsia="Times New Roman" w:hAnsi="Times New Roman"/>
          <w:b/>
          <w:bCs/>
          <w:color w:val="1F2937"/>
          <w:sz w:val="26"/>
          <w:szCs w:val="26"/>
        </w:rPr>
        <w:t xml:space="preserve">2. Anatomie d'une obligation — les 5 caractéristiques clés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color="1B3A6B" w:val="solid"/>
          </w:tcPr>
          <w:p>
            <w:pPr>
              <w:jc w:val="center"/>
            </w:pPr>
            <w:r>
              <w:rPr>
                <w:rFonts w:ascii="Times New Roman" w:cs="Times New Roman" w:eastAsia="Times New Roman" w:hAnsi="Times New Roman"/>
                <w:b/>
                <w:bCs/>
                <w:color w:val="FFFFFF"/>
                <w:sz w:val="20"/>
                <w:szCs w:val="20"/>
              </w:rPr>
              <w:t xml:space="preserve">Caractéristique</w:t>
            </w:r>
          </w:p>
        </w:tc>
        <w:tc>
          <w:tcPr>
            <w:shd w:fill="1B3A6B" w:color="1B3A6B" w:val="solid"/>
          </w:tcPr>
          <w:p>
            <w:pPr>
              <w:jc w:val="center"/>
            </w:pPr>
            <w:r>
              <w:rPr>
                <w:rFonts w:ascii="Times New Roman" w:cs="Times New Roman" w:eastAsia="Times New Roman" w:hAnsi="Times New Roman"/>
                <w:b/>
                <w:bCs/>
                <w:color w:val="FFFFFF"/>
                <w:sz w:val="20"/>
                <w:szCs w:val="20"/>
              </w:rPr>
              <w:t xml:space="preserve">Définition</w:t>
            </w:r>
          </w:p>
        </w:tc>
        <w:tc>
          <w:tcPr>
            <w:shd w:fill="1B3A6B" w:color="1B3A6B" w:val="solid"/>
          </w:tcPr>
          <w:p>
            <w:pPr>
              <w:jc w:val="center"/>
            </w:pPr>
            <w:r>
              <w:rPr>
                <w:rFonts w:ascii="Times New Roman" w:cs="Times New Roman" w:eastAsia="Times New Roman" w:hAnsi="Times New Roman"/>
                <w:b/>
                <w:bCs/>
                <w:color w:val="FFFFFF"/>
                <w:sz w:val="20"/>
                <w:szCs w:val="20"/>
              </w:rPr>
              <w:t xml:space="preserve">Exemple concret</w:t>
            </w:r>
          </w:p>
        </w:tc>
      </w:tr>
      <w:tr>
        <w:tc>
          <w:tcPr>
            <w:shd w:fill="FFFFFF" w:color="FFFFFF" w:val="solid"/>
          </w:tcPr>
          <w:p>
            <w:r>
              <w:rPr>
                <w:rFonts w:ascii="Times New Roman" w:cs="Times New Roman" w:eastAsia="Times New Roman" w:hAnsi="Times New Roman"/>
                <w:color w:val="1F2937"/>
                <w:sz w:val="20"/>
                <w:szCs w:val="20"/>
              </w:rPr>
              <w:t xml:space="preserve">Valeur nominale</w:t>
            </w:r>
          </w:p>
        </w:tc>
        <w:tc>
          <w:tcPr>
            <w:shd w:fill="FFFFFF" w:color="FFFFFF" w:val="solid"/>
          </w:tcPr>
          <w:p>
            <w:r>
              <w:rPr>
                <w:rFonts w:ascii="Times New Roman" w:cs="Times New Roman" w:eastAsia="Times New Roman" w:hAnsi="Times New Roman"/>
                <w:color w:val="1F2937"/>
                <w:sz w:val="20"/>
                <w:szCs w:val="20"/>
              </w:rPr>
              <w:t xml:space="preserve">Capital initial divisé par le nombre de titres émis</w:t>
            </w:r>
          </w:p>
        </w:tc>
        <w:tc>
          <w:tcPr>
            <w:shd w:fill="FFFFFF" w:color="FFFFFF" w:val="solid"/>
          </w:tcPr>
          <w:p>
            <w:r>
              <w:rPr>
                <w:rFonts w:ascii="Times New Roman" w:cs="Times New Roman" w:eastAsia="Times New Roman" w:hAnsi="Times New Roman"/>
                <w:color w:val="1F2937"/>
                <w:sz w:val="20"/>
                <w:szCs w:val="20"/>
              </w:rPr>
              <w:t xml:space="preserve">1 000 €</w:t>
            </w:r>
          </w:p>
        </w:tc>
      </w:tr>
      <w:tr>
        <w:tc>
          <w:tcPr>
            <w:shd w:fill="EEF2F7" w:color="EEF2F7" w:val="solid"/>
          </w:tcPr>
          <w:p>
            <w:r>
              <w:rPr>
                <w:rFonts w:ascii="Times New Roman" w:cs="Times New Roman" w:eastAsia="Times New Roman" w:hAnsi="Times New Roman"/>
                <w:color w:val="1F2937"/>
                <w:sz w:val="20"/>
                <w:szCs w:val="20"/>
              </w:rPr>
              <w:t xml:space="preserve">Taux nominal (coupon)</w:t>
            </w:r>
          </w:p>
        </w:tc>
        <w:tc>
          <w:tcPr>
            <w:shd w:fill="EEF2F7" w:color="EEF2F7" w:val="solid"/>
          </w:tcPr>
          <w:p>
            <w:r>
              <w:rPr>
                <w:rFonts w:ascii="Times New Roman" w:cs="Times New Roman" w:eastAsia="Times New Roman" w:hAnsi="Times New Roman"/>
                <w:color w:val="1F2937"/>
                <w:sz w:val="20"/>
                <w:szCs w:val="20"/>
              </w:rPr>
              <w:t xml:space="preserve">Taux d'intérêt annuel appliqué à la valeur nominale</w:t>
            </w:r>
          </w:p>
        </w:tc>
        <w:tc>
          <w:tcPr>
            <w:shd w:fill="EEF2F7" w:color="EEF2F7" w:val="solid"/>
          </w:tcPr>
          <w:p>
            <w:r>
              <w:rPr>
                <w:rFonts w:ascii="Times New Roman" w:cs="Times New Roman" w:eastAsia="Times New Roman" w:hAnsi="Times New Roman"/>
                <w:color w:val="1F2937"/>
                <w:sz w:val="20"/>
                <w:szCs w:val="20"/>
              </w:rPr>
              <w:t xml:space="preserve">2,50 %</w:t>
            </w:r>
          </w:p>
        </w:tc>
      </w:tr>
      <w:tr>
        <w:tc>
          <w:tcPr>
            <w:shd w:fill="FFFFFF" w:color="FFFFFF" w:val="solid"/>
          </w:tcPr>
          <w:p>
            <w:r>
              <w:rPr>
                <w:rFonts w:ascii="Times New Roman" w:cs="Times New Roman" w:eastAsia="Times New Roman" w:hAnsi="Times New Roman"/>
                <w:color w:val="1F2937"/>
                <w:sz w:val="20"/>
                <w:szCs w:val="20"/>
              </w:rPr>
              <w:t xml:space="preserve">Coupon annuel</w:t>
            </w:r>
          </w:p>
        </w:tc>
        <w:tc>
          <w:tcPr>
            <w:shd w:fill="FFFFFF" w:color="FFFFFF" w:val="solid"/>
          </w:tcPr>
          <w:p>
            <w:r>
              <w:rPr>
                <w:rFonts w:ascii="Times New Roman" w:cs="Times New Roman" w:eastAsia="Times New Roman" w:hAnsi="Times New Roman"/>
                <w:color w:val="1F2937"/>
                <w:sz w:val="20"/>
                <w:szCs w:val="20"/>
              </w:rPr>
              <w:t xml:space="preserve">Valeur nominale × taux nominal</w:t>
            </w:r>
          </w:p>
        </w:tc>
        <w:tc>
          <w:tcPr>
            <w:shd w:fill="FFFFFF" w:color="FFFFFF" w:val="solid"/>
          </w:tcPr>
          <w:p>
            <w:r>
              <w:rPr>
                <w:rFonts w:ascii="Times New Roman" w:cs="Times New Roman" w:eastAsia="Times New Roman" w:hAnsi="Times New Roman"/>
                <w:color w:val="1F2937"/>
                <w:sz w:val="20"/>
                <w:szCs w:val="20"/>
              </w:rPr>
              <w:t xml:space="preserve">1 000 € × 2,50 % = 25 €</w:t>
            </w:r>
          </w:p>
        </w:tc>
      </w:tr>
      <w:tr>
        <w:tc>
          <w:tcPr>
            <w:shd w:fill="EEF2F7" w:color="EEF2F7" w:val="solid"/>
          </w:tcPr>
          <w:p>
            <w:r>
              <w:rPr>
                <w:rFonts w:ascii="Times New Roman" w:cs="Times New Roman" w:eastAsia="Times New Roman" w:hAnsi="Times New Roman"/>
                <w:color w:val="1F2937"/>
                <w:sz w:val="20"/>
                <w:szCs w:val="20"/>
              </w:rPr>
              <w:t xml:space="preserve">Maturité</w:t>
            </w:r>
          </w:p>
        </w:tc>
        <w:tc>
          <w:tcPr>
            <w:shd w:fill="EEF2F7" w:color="EEF2F7" w:val="solid"/>
          </w:tcPr>
          <w:p>
            <w:r>
              <w:rPr>
                <w:rFonts w:ascii="Times New Roman" w:cs="Times New Roman" w:eastAsia="Times New Roman" w:hAnsi="Times New Roman"/>
                <w:color w:val="1F2937"/>
                <w:sz w:val="20"/>
                <w:szCs w:val="20"/>
              </w:rPr>
              <w:t xml:space="preserve">Durée de vie ; durée de vie moyenne ~10 ans</w:t>
            </w:r>
          </w:p>
        </w:tc>
        <w:tc>
          <w:tcPr>
            <w:shd w:fill="EEF2F7" w:color="EEF2F7" w:val="solid"/>
          </w:tcPr>
          <w:p>
            <w:r>
              <w:rPr>
                <w:rFonts w:ascii="Times New Roman" w:cs="Times New Roman" w:eastAsia="Times New Roman" w:hAnsi="Times New Roman"/>
                <w:color w:val="1F2937"/>
                <w:sz w:val="20"/>
                <w:szCs w:val="20"/>
              </w:rPr>
              <w:t xml:space="preserve">8 ans restants</w:t>
            </w:r>
          </w:p>
        </w:tc>
      </w:tr>
      <w:tr>
        <w:tc>
          <w:tcPr>
            <w:shd w:fill="FFFFFF" w:color="FFFFFF" w:val="solid"/>
          </w:tcPr>
          <w:p>
            <w:r>
              <w:rPr>
                <w:rFonts w:ascii="Times New Roman" w:cs="Times New Roman" w:eastAsia="Times New Roman" w:hAnsi="Times New Roman"/>
                <w:color w:val="1F2937"/>
                <w:sz w:val="20"/>
                <w:szCs w:val="20"/>
              </w:rPr>
              <w:t xml:space="preserve">Prix de marché</w:t>
            </w:r>
          </w:p>
        </w:tc>
        <w:tc>
          <w:tcPr>
            <w:shd w:fill="FFFFFF" w:color="FFFFFF" w:val="solid"/>
          </w:tcPr>
          <w:p>
            <w:r>
              <w:rPr>
                <w:rFonts w:ascii="Times New Roman" w:cs="Times New Roman" w:eastAsia="Times New Roman" w:hAnsi="Times New Roman"/>
                <w:color w:val="1F2937"/>
                <w:sz w:val="20"/>
                <w:szCs w:val="20"/>
              </w:rPr>
              <w:t xml:space="preserve">Exprimé en % du nominal, fluctue selon les taux</w:t>
            </w:r>
          </w:p>
        </w:tc>
        <w:tc>
          <w:tcPr>
            <w:shd w:fill="FFFFFF" w:color="FFFFFF" w:val="solid"/>
          </w:tcPr>
          <w:p>
            <w:r>
              <w:rPr>
                <w:rFonts w:ascii="Times New Roman" w:cs="Times New Roman" w:eastAsia="Times New Roman" w:hAnsi="Times New Roman"/>
                <w:color w:val="1F2937"/>
                <w:sz w:val="20"/>
                <w:szCs w:val="20"/>
              </w:rPr>
              <w:t xml:space="preserve">102,5 % (soit 1 025 €)</w:t>
            </w:r>
          </w:p>
        </w:tc>
      </w:tr>
    </w:tbl>
    <w:p>
      <w:pPr>
        <w:spacing w:after="100"/>
      </w:pPr>
    </w:p>
    <w:p>
      <w:pPr>
        <w:spacing w:after="120"/>
      </w:pPr>
      <w:r>
        <w:rPr>
          <w:rFonts w:ascii="Times New Roman" w:cs="Times New Roman" w:eastAsia="Times New Roman" w:hAnsi="Times New Roman"/>
          <w:b/>
          <w:bCs/>
          <w:color w:val="1F2937"/>
          <w:sz w:val="22"/>
          <w:szCs w:val="22"/>
        </w:rPr>
        <w:t xml:space="preserve">Coupon couru (formule) : </w:t>
      </w:r>
      <w:r>
        <w:rPr>
          <w:rFonts w:ascii="Times New Roman" w:cs="Times New Roman" w:eastAsia="Times New Roman" w:hAnsi="Times New Roman"/>
          <w:color w:val="1F2937"/>
          <w:sz w:val="22"/>
          <w:szCs w:val="22"/>
        </w:rPr>
        <w:t xml:space="preserve">(Taux nominal × nombre de jours écoulés depuis le dernier coupon) ÷ 360. C'est la rémunération accumulée que tu verses à l'ancien détenteur quand tu achètes en cours de période.</w:t>
      </w:r>
    </w:p>
    <w:p>
      <w:pPr>
        <w:pStyle w:val="Heading3"/>
        <w:spacing w:after="80" w:before="160"/>
      </w:pPr>
      <w:r>
        <w:rPr>
          <w:rFonts w:ascii="Times New Roman" w:cs="Times New Roman" w:eastAsia="Times New Roman" w:hAnsi="Times New Roman"/>
          <w:b/>
          <w:bCs/>
          <w:color w:val="1F2937"/>
          <w:sz w:val="26"/>
          <w:szCs w:val="26"/>
        </w:rPr>
        <w:t xml:space="preserve">3. La relation fondamentale : taux du marché ↔ prix des obligations</w:t>
      </w:r>
    </w:p>
    <w:p>
      <w:pPr>
        <w:shd w:fill="F3F4F6" w:color="F3F4F6" w:val="solid"/>
        <w:spacing w:after="140" w:before="80"/>
        <w:ind w:left="300" w:right="300"/>
      </w:pPr>
      <w:r>
        <w:rPr>
          <w:rFonts w:ascii="Times New Roman" w:cs="Times New Roman" w:eastAsia="Times New Roman" w:hAnsi="Times New Roman"/>
          <w:b/>
          <w:bCs/>
          <w:color w:val="1F2937"/>
          <w:sz w:val="22"/>
          <w:szCs w:val="22"/>
        </w:rPr>
        <w:t xml:space="preserve">📌 Règle d'or : </w:t>
      </w:r>
      <w:r>
        <w:rPr>
          <w:rFonts w:ascii="Times New Roman" w:cs="Times New Roman" w:eastAsia="Times New Roman" w:hAnsi="Times New Roman"/>
          <w:color w:val="1F2937"/>
          <w:sz w:val="22"/>
          <w:szCs w:val="22"/>
        </w:rPr>
        <w:t xml:space="preserve">quand les taux d'intérêt du marché montent → le prix des obligations déjà émises baisse. Et inversement. C'est la relation inverse taux/prix, centrale en finance obligataire.</w:t>
      </w:r>
    </w:p>
    <w:p>
      <w:pPr>
        <w:spacing w:after="120"/>
      </w:pPr>
      <w:r>
        <w:rPr>
          <w:rFonts w:ascii="Times New Roman" w:cs="Times New Roman" w:eastAsia="Times New Roman" w:hAnsi="Times New Roman"/>
          <w:color w:val="1F2937"/>
          <w:sz w:val="22"/>
          <w:szCs w:val="22"/>
        </w:rPr>
        <w:t xml:space="preserve">Illustration chiffrée (source : La Finance pour Tous, rubrique « Acquérir des obligations ») :</w:t>
      </w:r>
    </w:p>
    <w:p>
      <w:pPr>
        <w:pStyle w:val="ListParagraph"/>
        <w:numPr>
          <w:ilvl w:val="0"/>
          <w:numId w:val="1"/>
        </w:numPr>
        <w:spacing w:after="60"/>
        <w:ind w:left="720"/>
      </w:pPr>
      <w:r>
        <w:rPr>
          <w:rFonts w:ascii="Times New Roman" w:cs="Times New Roman" w:eastAsia="Times New Roman" w:hAnsi="Times New Roman"/>
          <w:color w:val="1F2937"/>
          <w:sz w:val="22"/>
          <w:szCs w:val="22"/>
        </w:rPr>
        <w:t xml:space="preserve">Obligation émise à 100 € au taux de 5 %.</w:t>
      </w:r>
    </w:p>
    <w:p>
      <w:pPr>
        <w:pStyle w:val="ListParagraph"/>
        <w:numPr>
          <w:ilvl w:val="0"/>
          <w:numId w:val="1"/>
        </w:numPr>
        <w:spacing w:after="60"/>
        <w:ind w:left="720"/>
      </w:pPr>
      <w:r>
        <w:rPr>
          <w:rFonts w:ascii="Times New Roman" w:cs="Times New Roman" w:eastAsia="Times New Roman" w:hAnsi="Times New Roman"/>
          <w:color w:val="1F2937"/>
          <w:sz w:val="22"/>
          <w:szCs w:val="22"/>
        </w:rPr>
        <w:t xml:space="preserve">Si les taux du marché montent à 10 % : personne ne veut payer 100 € pour toucher 5 %. Le prix tombe à ~50 € pour que le rendement soit équivalent.</w:t>
      </w:r>
    </w:p>
    <w:p>
      <w:pPr>
        <w:pStyle w:val="ListParagraph"/>
        <w:numPr>
          <w:ilvl w:val="0"/>
          <w:numId w:val="1"/>
        </w:numPr>
        <w:spacing w:after="60"/>
        <w:ind w:left="720"/>
      </w:pPr>
      <w:r>
        <w:rPr>
          <w:rFonts w:ascii="Times New Roman" w:cs="Times New Roman" w:eastAsia="Times New Roman" w:hAnsi="Times New Roman"/>
          <w:color w:val="1F2937"/>
          <w:sz w:val="22"/>
          <w:szCs w:val="22"/>
        </w:rPr>
        <w:t xml:space="preserve">Si les taux du marché baissent à 3 % : l'obligation à 5 % devient très attractive. Son prix monte à ~166 €.</w:t>
      </w:r>
    </w:p>
    <w:p>
      <w:pPr>
        <w:pStyle w:val="Heading3"/>
        <w:spacing w:after="80" w:before="160"/>
      </w:pPr>
      <w:r>
        <w:rPr>
          <w:rFonts w:ascii="Times New Roman" w:cs="Times New Roman" w:eastAsia="Times New Roman" w:hAnsi="Times New Roman"/>
          <w:b/>
          <w:bCs/>
          <w:color w:val="1F2937"/>
          <w:sz w:val="26"/>
          <w:szCs w:val="26"/>
        </w:rPr>
        <w:t xml:space="preserve">4. Le rendement : deux mesures à connaître</w:t>
      </w:r>
    </w:p>
    <w:p>
      <w:pPr>
        <w:spacing w:after="120"/>
      </w:pPr>
      <w:r>
        <w:rPr>
          <w:rFonts w:ascii="Times New Roman" w:cs="Times New Roman" w:eastAsia="Times New Roman" w:hAnsi="Times New Roman"/>
          <w:b/>
          <w:bCs/>
          <w:color w:val="1F2937"/>
          <w:sz w:val="22"/>
          <w:szCs w:val="22"/>
        </w:rPr>
        <w:t xml:space="preserve">a) Rendement courant</w:t>
      </w:r>
      <w:r>
        <w:rPr>
          <w:rFonts w:ascii="Times New Roman" w:cs="Times New Roman" w:eastAsia="Times New Roman" w:hAnsi="Times New Roman"/>
          <w:color w:val="1F2937"/>
          <w:sz w:val="22"/>
          <w:szCs w:val="22"/>
        </w:rPr>
        <w:t xml:space="preserve"> = Coupon ÷ Cours × 100</w:t>
      </w:r>
    </w:p>
    <w:p>
      <w:pPr>
        <w:spacing w:after="120"/>
      </w:pPr>
      <w:r>
        <w:rPr>
          <w:rFonts w:ascii="Times New Roman" w:cs="Times New Roman" w:eastAsia="Times New Roman" w:hAnsi="Times New Roman"/>
          <w:color w:val="1F2937"/>
          <w:sz w:val="22"/>
          <w:szCs w:val="22"/>
        </w:rPr>
        <w:t xml:space="preserve">Exemple (source : La Finance pour Tous) : coupon de 4,8 — cours de 96 → Rendement courant = (4,8 / 96) × 100 = </w:t>
      </w:r>
      <w:r>
        <w:rPr>
          <w:rFonts w:ascii="Times New Roman" w:cs="Times New Roman" w:eastAsia="Times New Roman" w:hAnsi="Times New Roman"/>
          <w:b/>
          <w:bCs/>
          <w:color w:val="1F2937"/>
          <w:sz w:val="22"/>
          <w:szCs w:val="22"/>
        </w:rPr>
        <w:t xml:space="preserve">5,00 %</w:t>
      </w:r>
      <w:r>
        <w:rPr>
          <w:rFonts w:ascii="Times New Roman" w:cs="Times New Roman" w:eastAsia="Times New Roman" w:hAnsi="Times New Roman"/>
          <w:color w:val="1F2937"/>
          <w:sz w:val="22"/>
          <w:szCs w:val="22"/>
        </w:rPr>
        <w:t xml:space="preserve">.</w:t>
      </w:r>
    </w:p>
    <w:p>
      <w:pPr>
        <w:spacing w:after="120"/>
      </w:pPr>
      <w:r>
        <w:rPr>
          <w:rFonts w:ascii="Times New Roman" w:cs="Times New Roman" w:eastAsia="Times New Roman" w:hAnsi="Times New Roman"/>
          <w:b/>
          <w:bCs/>
          <w:color w:val="1F2937"/>
          <w:sz w:val="22"/>
          <w:szCs w:val="22"/>
        </w:rPr>
        <w:t xml:space="preserve">b) Taux de rendement actuariel (TRA)</w:t>
      </w:r>
      <w:r>
        <w:rPr>
          <w:rFonts w:ascii="Times New Roman" w:cs="Times New Roman" w:eastAsia="Times New Roman" w:hAnsi="Times New Roman"/>
          <w:color w:val="1F2937"/>
          <w:sz w:val="22"/>
          <w:szCs w:val="22"/>
        </w:rPr>
        <w:t xml:space="preserve"> = taux qui égalise la valeur actuelle de l'obligation avec la somme de tous les flux futurs (coupons + remboursement). C'est la mesure de référence des professionnels.</w:t>
      </w:r>
    </w:p>
    <w:p>
      <w:pPr>
        <w:spacing w:after="120"/>
      </w:pPr>
      <w:r>
        <w:rPr>
          <w:rFonts w:ascii="Times New Roman" w:cs="Times New Roman" w:eastAsia="Times New Roman" w:hAnsi="Times New Roman"/>
          <w:color w:val="1F2937"/>
          <w:sz w:val="22"/>
          <w:szCs w:val="22"/>
        </w:rPr>
        <w:t xml:space="preserve">Exemple (source : La Finance pour Tous) : obligation à 102,5 % du nominal, coupon 4,5 %, 8 ans restants. Rendement courant = 4,5 / 102,5 = 4,39 %. Le titre est acheté AU-DESSUS du pair : on paie 102,5 pour être remboursé 100, soit une perte de 2,5 étalée sur 8 ans, environ −0,31 % par an. Ce second terme se SOUSTRAIT : 4,39 % − 0,31 % ≈ 4,08 %, et le calcul actuariel exact donne </w:t>
      </w:r>
      <w:r>
        <w:rPr>
          <w:rFonts w:ascii="Times New Roman" w:cs="Times New Roman" w:eastAsia="Times New Roman" w:hAnsi="Times New Roman"/>
          <w:b/>
          <w:bCs/>
          <w:color w:val="1F2937"/>
          <w:sz w:val="22"/>
          <w:szCs w:val="22"/>
        </w:rPr>
        <w:t xml:space="preserve">4,13 %</w:t>
      </w:r>
      <w:r>
        <w:rPr>
          <w:rFonts w:ascii="Times New Roman" w:cs="Times New Roman" w:eastAsia="Times New Roman" w:hAnsi="Times New Roman"/>
          <w:color w:val="1F2937"/>
          <w:sz w:val="22"/>
          <w:szCs w:val="22"/>
        </w:rPr>
        <w:t xml:space="preserve">. 📌 Le sens du second terme est la seule chose à retenir ici : une obligation achetée AU-DESSUS du pair rapporte MOINS que son rendement courant, une obligation achetée AU-DESSOUS rapporte PLUS. La prime payée à l'achat est perdue au remboursement, la décote est encaissée. Si le calcul te donne un actuariel supérieur au courant sur un titre acheté à 102,5 %, c'est que le signe a été inversé.</w:t>
      </w:r>
    </w:p>
    <w:p>
      <w:pPr>
        <w:pStyle w:val="Heading3"/>
        <w:spacing w:after="80" w:before="160"/>
      </w:pPr>
      <w:r>
        <w:rPr>
          <w:rFonts w:ascii="Times New Roman" w:cs="Times New Roman" w:eastAsia="Times New Roman" w:hAnsi="Times New Roman"/>
          <w:b/>
          <w:bCs/>
          <w:color w:val="1F2937"/>
          <w:sz w:val="26"/>
          <w:szCs w:val="26"/>
        </w:rPr>
        <w:t xml:space="preserve">5. Les principaux types d'émetteurs et la notation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B3A6B" w:color="1B3A6B" w:val="solid"/>
          </w:tcPr>
          <w:p>
            <w:pPr>
              <w:jc w:val="center"/>
            </w:pPr>
            <w:r>
              <w:rPr>
                <w:rFonts w:ascii="Times New Roman" w:cs="Times New Roman" w:eastAsia="Times New Roman" w:hAnsi="Times New Roman"/>
                <w:b/>
                <w:bCs/>
                <w:color w:val="FFFFFF"/>
                <w:sz w:val="20"/>
                <w:szCs w:val="20"/>
              </w:rPr>
              <w:t xml:space="preserve">Émetteur</w:t>
            </w:r>
          </w:p>
        </w:tc>
        <w:tc>
          <w:tcPr>
            <w:shd w:fill="1B3A6B" w:color="1B3A6B" w:val="solid"/>
          </w:tcPr>
          <w:p>
            <w:pPr>
              <w:jc w:val="center"/>
            </w:pPr>
            <w:r>
              <w:rPr>
                <w:rFonts w:ascii="Times New Roman" w:cs="Times New Roman" w:eastAsia="Times New Roman" w:hAnsi="Times New Roman"/>
                <w:b/>
                <w:bCs/>
                <w:color w:val="FFFFFF"/>
                <w:sz w:val="20"/>
                <w:szCs w:val="20"/>
              </w:rPr>
              <w:t xml:space="preserve">Risque</w:t>
            </w:r>
          </w:p>
        </w:tc>
        <w:tc>
          <w:tcPr>
            <w:shd w:fill="1B3A6B" w:color="1B3A6B" w:val="solid"/>
          </w:tcPr>
          <w:p>
            <w:pPr>
              <w:jc w:val="center"/>
            </w:pPr>
            <w:r>
              <w:rPr>
                <w:rFonts w:ascii="Times New Roman" w:cs="Times New Roman" w:eastAsia="Times New Roman" w:hAnsi="Times New Roman"/>
                <w:b/>
                <w:bCs/>
                <w:color w:val="FFFFFF"/>
                <w:sz w:val="20"/>
                <w:szCs w:val="20"/>
              </w:rPr>
              <w:t xml:space="preserve">Notation typique (S&amp;P)</w:t>
            </w:r>
          </w:p>
        </w:tc>
        <w:tc>
          <w:tcPr>
            <w:shd w:fill="1B3A6B" w:color="1B3A6B" w:val="solid"/>
          </w:tcPr>
          <w:p>
            <w:pPr>
              <w:jc w:val="center"/>
            </w:pPr>
            <w:r>
              <w:rPr>
                <w:rFonts w:ascii="Times New Roman" w:cs="Times New Roman" w:eastAsia="Times New Roman" w:hAnsi="Times New Roman"/>
                <w:b/>
                <w:bCs/>
                <w:color w:val="FFFFFF"/>
                <w:sz w:val="20"/>
                <w:szCs w:val="20"/>
              </w:rPr>
              <w:t xml:space="preserve">Rendement</w:t>
            </w:r>
          </w:p>
        </w:tc>
      </w:tr>
      <w:tr>
        <w:tc>
          <w:tcPr>
            <w:shd w:fill="FFFFFF" w:color="FFFFFF" w:val="solid"/>
          </w:tcPr>
          <w:p>
            <w:r>
              <w:rPr>
                <w:rFonts w:ascii="Times New Roman" w:cs="Times New Roman" w:eastAsia="Times New Roman" w:hAnsi="Times New Roman"/>
                <w:color w:val="1F2937"/>
                <w:sz w:val="20"/>
                <w:szCs w:val="20"/>
              </w:rPr>
              <w:t xml:space="preserve">État français (OAT)</w:t>
            </w:r>
          </w:p>
        </w:tc>
        <w:tc>
          <w:tcPr>
            <w:shd w:fill="FFFFFF" w:color="FFFFFF" w:val="solid"/>
          </w:tcPr>
          <w:p>
            <w:r>
              <w:rPr>
                <w:rFonts w:ascii="Times New Roman" w:cs="Times New Roman" w:eastAsia="Times New Roman" w:hAnsi="Times New Roman"/>
                <w:color w:val="1F2937"/>
                <w:sz w:val="20"/>
                <w:szCs w:val="20"/>
              </w:rPr>
              <w:t xml:space="preserve">Très faible</w:t>
            </w:r>
          </w:p>
        </w:tc>
        <w:tc>
          <w:tcPr>
            <w:shd w:fill="FFFFFF" w:color="FFFFFF" w:val="solid"/>
          </w:tcPr>
          <w:p>
            <w:r>
              <w:rPr>
                <w:rFonts w:ascii="Times New Roman" w:cs="Times New Roman" w:eastAsia="Times New Roman" w:hAnsi="Times New Roman"/>
                <w:color w:val="1F2937"/>
                <w:sz w:val="20"/>
                <w:szCs w:val="20"/>
              </w:rPr>
              <w:t xml:space="preserve">A+ — S&amp;P a abaissé la France de AA- à A+ le 17/10/2025. Les deux autres agences, vérifiées le 24/09/2026 : Fitch A+ (perspective stable, 06/03/2026) et Moody's Aa3 (stable, 14/12/2024). Vérifier avant réutilisation : une notation souveraine bouge.</w:t>
            </w:r>
            <w:r>
              <w:rPr>
                <w:rFonts w:ascii="Times New Roman" w:cs="Times New Roman" w:eastAsia="Times New Roman" w:hAnsi="Times New Roman"/>
                <w:i/>
                <w:iCs/>
                <w:color w:val="6B7280"/>
                <w:sz w:val="20"/>
                <w:szCs w:val="20"/>
              </w:rPr>
              <w:t xml:space="preserve"> [Corrigé le 24/09/2026 : la version du 29/08/2026 donnait « Fitch : AA- ». Fitch a dégradé la France à A+ — la notice française le date de septembre 2025, le tableau des notations souveraines de Wikipédia en anglais porte « A+, Stable, 6 March 2026 ». Deux agences sur trois sont donc à A+, et non une seule. S&amp;P (A+ au 17/10/2025) et Moody's (Aa3 au 14/12/2024) sont confirmées.]</w:t>
            </w:r>
          </w:p>
        </w:tc>
        <w:tc>
          <w:tcPr>
            <w:shd w:fill="FFFFFF" w:color="FFFFFF" w:val="solid"/>
          </w:tcPr>
          <w:p>
            <w:r>
              <w:rPr>
                <w:rFonts w:ascii="Times New Roman" w:cs="Times New Roman" w:eastAsia="Times New Roman" w:hAnsi="Times New Roman"/>
                <w:color w:val="1F2937"/>
                <w:sz w:val="20"/>
                <w:szCs w:val="20"/>
              </w:rPr>
              <w:t xml:space="preserve">Bas</w:t>
            </w:r>
          </w:p>
        </w:tc>
      </w:tr>
      <w:tr>
        <w:tc>
          <w:tcPr>
            <w:shd w:fill="EEF2F7" w:color="EEF2F7" w:val="solid"/>
          </w:tcPr>
          <w:p>
            <w:r>
              <w:rPr>
                <w:rFonts w:ascii="Times New Roman" w:cs="Times New Roman" w:eastAsia="Times New Roman" w:hAnsi="Times New Roman"/>
                <w:color w:val="1F2937"/>
                <w:sz w:val="20"/>
                <w:szCs w:val="20"/>
              </w:rPr>
              <w:t xml:space="preserve">États développés (Allemagne, USA)</w:t>
            </w:r>
          </w:p>
        </w:tc>
        <w:tc>
          <w:tcPr>
            <w:shd w:fill="EEF2F7" w:color="EEF2F7" w:val="solid"/>
          </w:tcPr>
          <w:p>
            <w:r>
              <w:rPr>
                <w:rFonts w:ascii="Times New Roman" w:cs="Times New Roman" w:eastAsia="Times New Roman" w:hAnsi="Times New Roman"/>
                <w:color w:val="1F2937"/>
                <w:sz w:val="20"/>
                <w:szCs w:val="20"/>
              </w:rPr>
              <w:t xml:space="preserve">Très faible à faible</w:t>
            </w:r>
          </w:p>
        </w:tc>
        <w:tc>
          <w:tcPr>
            <w:shd w:fill="EEF2F7" w:color="EEF2F7" w:val="solid"/>
          </w:tcPr>
          <w:p>
            <w:r>
              <w:rPr>
                <w:rFonts w:ascii="Times New Roman" w:cs="Times New Roman" w:eastAsia="Times New Roman" w:hAnsi="Times New Roman"/>
                <w:color w:val="1F2937"/>
                <w:sz w:val="20"/>
                <w:szCs w:val="20"/>
              </w:rPr>
              <w:t xml:space="preserve">AAA / AA+</w:t>
            </w:r>
          </w:p>
        </w:tc>
        <w:tc>
          <w:tcPr>
            <w:shd w:fill="EEF2F7" w:color="EEF2F7" w:val="solid"/>
          </w:tcPr>
          <w:p>
            <w:r>
              <w:rPr>
                <w:rFonts w:ascii="Times New Roman" w:cs="Times New Roman" w:eastAsia="Times New Roman" w:hAnsi="Times New Roman"/>
                <w:color w:val="1F2937"/>
                <w:sz w:val="20"/>
                <w:szCs w:val="20"/>
              </w:rPr>
              <w:t xml:space="preserve">Bas</w:t>
            </w:r>
          </w:p>
        </w:tc>
      </w:tr>
      <w:tr>
        <w:tc>
          <w:tcPr>
            <w:shd w:fill="FFFFFF" w:color="FFFFFF" w:val="solid"/>
          </w:tcPr>
          <w:p>
            <w:r>
              <w:rPr>
                <w:rFonts w:ascii="Times New Roman" w:cs="Times New Roman" w:eastAsia="Times New Roman" w:hAnsi="Times New Roman"/>
                <w:color w:val="1F2937"/>
                <w:sz w:val="20"/>
                <w:szCs w:val="20"/>
              </w:rPr>
              <w:t xml:space="preserve">Grandes entreprises solides (investment grade)</w:t>
            </w:r>
          </w:p>
        </w:tc>
        <w:tc>
          <w:tcPr>
            <w:shd w:fill="FFFFFF" w:color="FFFFFF" w:val="solid"/>
          </w:tcPr>
          <w:p>
            <w:r>
              <w:rPr>
                <w:rFonts w:ascii="Times New Roman" w:cs="Times New Roman" w:eastAsia="Times New Roman" w:hAnsi="Times New Roman"/>
                <w:color w:val="1F2937"/>
                <w:sz w:val="20"/>
                <w:szCs w:val="20"/>
              </w:rPr>
              <w:t xml:space="preserve">Modéré</w:t>
            </w:r>
          </w:p>
        </w:tc>
        <w:tc>
          <w:tcPr>
            <w:shd w:fill="FFFFFF" w:color="FFFFFF" w:val="solid"/>
          </w:tcPr>
          <w:p>
            <w:r>
              <w:rPr>
                <w:rFonts w:ascii="Times New Roman" w:cs="Times New Roman" w:eastAsia="Times New Roman" w:hAnsi="Times New Roman"/>
                <w:color w:val="1F2937"/>
                <w:sz w:val="20"/>
                <w:szCs w:val="20"/>
              </w:rPr>
              <w:t xml:space="preserve">BBB- à AAA</w:t>
            </w:r>
          </w:p>
        </w:tc>
        <w:tc>
          <w:tcPr>
            <w:shd w:fill="FFFFFF" w:color="FFFFFF" w:val="solid"/>
          </w:tcPr>
          <w:p>
            <w:r>
              <w:rPr>
                <w:rFonts w:ascii="Times New Roman" w:cs="Times New Roman" w:eastAsia="Times New Roman" w:hAnsi="Times New Roman"/>
                <w:color w:val="1F2937"/>
                <w:sz w:val="20"/>
                <w:szCs w:val="20"/>
              </w:rPr>
              <w:t xml:space="preserve">Intermédiaire</w:t>
            </w:r>
          </w:p>
        </w:tc>
      </w:tr>
      <w:tr>
        <w:tc>
          <w:tcPr>
            <w:shd w:fill="EEF2F7" w:color="EEF2F7" w:val="solid"/>
          </w:tcPr>
          <w:p>
            <w:r>
              <w:rPr>
                <w:rFonts w:ascii="Times New Roman" w:cs="Times New Roman" w:eastAsia="Times New Roman" w:hAnsi="Times New Roman"/>
                <w:color w:val="1F2937"/>
                <w:sz w:val="20"/>
                <w:szCs w:val="20"/>
              </w:rPr>
              <w:t xml:space="preserve">Entreprises à haut rendement (high yield)</w:t>
            </w:r>
          </w:p>
        </w:tc>
        <w:tc>
          <w:tcPr>
            <w:shd w:fill="EEF2F7" w:color="EEF2F7" w:val="solid"/>
          </w:tcPr>
          <w:p>
            <w:r>
              <w:rPr>
                <w:rFonts w:ascii="Times New Roman" w:cs="Times New Roman" w:eastAsia="Times New Roman" w:hAnsi="Times New Roman"/>
                <w:color w:val="1F2937"/>
                <w:sz w:val="20"/>
                <w:szCs w:val="20"/>
              </w:rPr>
              <w:t xml:space="preserve">Élevé</w:t>
            </w:r>
          </w:p>
        </w:tc>
        <w:tc>
          <w:tcPr>
            <w:shd w:fill="EEF2F7" w:color="EEF2F7" w:val="solid"/>
          </w:tcPr>
          <w:p>
            <w:r>
              <w:rPr>
                <w:rFonts w:ascii="Times New Roman" w:cs="Times New Roman" w:eastAsia="Times New Roman" w:hAnsi="Times New Roman"/>
                <w:color w:val="1F2937"/>
                <w:sz w:val="20"/>
                <w:szCs w:val="20"/>
              </w:rPr>
              <w:t xml:space="preserve">BB+ et inférieur</w:t>
            </w:r>
          </w:p>
        </w:tc>
        <w:tc>
          <w:tcPr>
            <w:shd w:fill="EEF2F7" w:color="EEF2F7" w:val="solid"/>
          </w:tcPr>
          <w:p>
            <w:r>
              <w:rPr>
                <w:rFonts w:ascii="Times New Roman" w:cs="Times New Roman" w:eastAsia="Times New Roman" w:hAnsi="Times New Roman"/>
                <w:color w:val="1F2937"/>
                <w:sz w:val="20"/>
                <w:szCs w:val="20"/>
              </w:rPr>
              <w:t xml:space="preserve">Élevé</w:t>
            </w:r>
          </w:p>
        </w:tc>
      </w:tr>
    </w:tbl>
    <w:p>
      <w:pPr>
        <w:spacing w:after="100"/>
      </w:pPr>
    </w:p>
    <w:p>
      <w:pPr>
        <w:spacing w:after="120" w:before="80"/>
        <w:ind w:left="540"/>
      </w:pPr>
      <w:r>
        <w:rPr>
          <w:rFonts w:ascii="Times New Roman" w:cs="Times New Roman" w:eastAsia="Times New Roman" w:hAnsi="Times New Roman"/>
          <w:i/>
          <w:iCs/>
          <w:color w:val="1B3A6B"/>
          <w:sz w:val="22"/>
          <w:szCs w:val="22"/>
        </w:rPr>
        <w:t xml:space="preserve">« Plus le risque pris est important, plus le rendement espéré est élevé. » — La Finance pour Tous, Les risques obligataires</w:t>
      </w:r>
    </w:p>
    <w:p>
      <w:pPr>
        <w:pStyle w:val="Heading3"/>
        <w:spacing w:after="80" w:before="160"/>
      </w:pPr>
      <w:r>
        <w:rPr>
          <w:rFonts w:ascii="Times New Roman" w:cs="Times New Roman" w:eastAsia="Times New Roman" w:hAnsi="Times New Roman"/>
          <w:b/>
          <w:bCs/>
          <w:color w:val="1F2937"/>
          <w:sz w:val="26"/>
          <w:szCs w:val="26"/>
        </w:rPr>
        <w:t xml:space="preserve">6. Les risques obligataires</w:t>
      </w:r>
    </w:p>
    <w:p>
      <w:pPr>
        <w:spacing w:after="120"/>
      </w:pPr>
      <w:r>
        <w:rPr>
          <w:rFonts w:ascii="Times New Roman" w:cs="Times New Roman" w:eastAsia="Times New Roman" w:hAnsi="Times New Roman"/>
          <w:color w:val="1F2937"/>
          <w:sz w:val="22"/>
          <w:szCs w:val="22"/>
        </w:rPr>
        <w:t xml:space="preserve">Cinq risques à connaître (source : La Finance pour Tous, section « Risques obligataires ») :</w:t>
      </w:r>
    </w:p>
    <w:p>
      <w:pPr>
        <w:pStyle w:val="ListParagraph"/>
        <w:numPr>
          <w:ilvl w:val="0"/>
          <w:numId w:val="1"/>
        </w:numPr>
        <w:spacing w:after="60"/>
        <w:ind w:left="720"/>
      </w:pPr>
      <w:r>
        <w:rPr>
          <w:rFonts w:ascii="Times New Roman" w:cs="Times New Roman" w:eastAsia="Times New Roman" w:hAnsi="Times New Roman"/>
          <w:color w:val="1F2937"/>
          <w:sz w:val="22"/>
          <w:szCs w:val="22"/>
        </w:rPr>
        <w:t xml:space="preserve">Risque de taux : la hausse des taux fait baisser la valeur des obligations en portefeuille. La sensibilité mesure cet impact : une sensibilité de 7 signifie qu'une hausse de 1 % des taux provoque une baisse de 7 % de la valeur du fonds.</w:t>
      </w:r>
    </w:p>
    <w:p>
      <w:pPr>
        <w:pStyle w:val="ListParagraph"/>
        <w:numPr>
          <w:ilvl w:val="0"/>
          <w:numId w:val="1"/>
        </w:numPr>
        <w:spacing w:after="60"/>
        <w:ind w:left="720"/>
      </w:pPr>
      <w:r>
        <w:rPr>
          <w:rFonts w:ascii="Times New Roman" w:cs="Times New Roman" w:eastAsia="Times New Roman" w:hAnsi="Times New Roman"/>
          <w:color w:val="1F2937"/>
          <w:sz w:val="22"/>
          <w:szCs w:val="22"/>
        </w:rPr>
        <w:t xml:space="preserve">Risque de défaut (crédit) : l'émetteur ne rembourse pas. Mesuré par les agences de notation (Standard &amp; Poor's, Moody's, Fitch). AAA = risque minimal. Exemple historique (1994) : lors d'une hausse brutale des taux par la Fed, un portefeuille obligataire a perdu 4,46 € par titre ; il a fallu presque 22 mois pour effacer la perte grâce aux coupons.</w:t>
      </w:r>
    </w:p>
    <w:p>
      <w:pPr>
        <w:pStyle w:val="ListParagraph"/>
        <w:numPr>
          <w:ilvl w:val="0"/>
          <w:numId w:val="1"/>
        </w:numPr>
        <w:spacing w:after="60"/>
        <w:ind w:left="720"/>
      </w:pPr>
      <w:r>
        <w:rPr>
          <w:rFonts w:ascii="Times New Roman" w:cs="Times New Roman" w:eastAsia="Times New Roman" w:hAnsi="Times New Roman"/>
          <w:color w:val="1F2937"/>
          <w:sz w:val="22"/>
          <w:szCs w:val="22"/>
        </w:rPr>
        <w:t xml:space="preserve">Risque de liquidité : difficulté à revendre l'obligation au prix souhaité si peu d'acheteurs sont présents sur le marché.</w:t>
      </w:r>
    </w:p>
    <w:p>
      <w:pPr>
        <w:pStyle w:val="ListParagraph"/>
        <w:numPr>
          <w:ilvl w:val="0"/>
          <w:numId w:val="1"/>
        </w:numPr>
        <w:spacing w:after="60"/>
        <w:ind w:left="720"/>
      </w:pPr>
      <w:r>
        <w:rPr>
          <w:rFonts w:ascii="Times New Roman" w:cs="Times New Roman" w:eastAsia="Times New Roman" w:hAnsi="Times New Roman"/>
          <w:color w:val="1F2937"/>
          <w:sz w:val="22"/>
          <w:szCs w:val="22"/>
        </w:rPr>
        <w:t xml:space="preserve">Risque de change : si l'obligation est libellée en devises étrangères (dollar, livre…), une appréciation de la devise étrangère peut affecter le rendement réel.</w:t>
      </w:r>
    </w:p>
    <w:p>
      <w:pPr>
        <w:pStyle w:val="ListParagraph"/>
        <w:numPr>
          <w:ilvl w:val="0"/>
          <w:numId w:val="1"/>
        </w:numPr>
        <w:spacing w:after="60"/>
        <w:ind w:left="720"/>
      </w:pPr>
      <w:r>
        <w:rPr>
          <w:rFonts w:ascii="Times New Roman" w:cs="Times New Roman" w:eastAsia="Times New Roman" w:hAnsi="Times New Roman"/>
          <w:color w:val="1F2937"/>
          <w:sz w:val="22"/>
          <w:szCs w:val="22"/>
        </w:rPr>
        <w:t xml:space="preserve">Risque d'inflation : les coupons fixes perdent du pouvoir d'achat si l'inflation monte. Les obligations indexées sur l'inflation (OATi en France) offrent une protection partielle.</w:t>
      </w:r>
    </w:p>
    <w:p>
      <w:pPr>
        <w:pStyle w:val="Heading3"/>
        <w:spacing w:after="80" w:before="160"/>
      </w:pPr>
      <w:r>
        <w:rPr>
          <w:rFonts w:ascii="Times New Roman" w:cs="Times New Roman" w:eastAsia="Times New Roman" w:hAnsi="Times New Roman"/>
          <w:b/>
          <w:bCs/>
          <w:color w:val="1F2937"/>
          <w:sz w:val="26"/>
          <w:szCs w:val="26"/>
        </w:rPr>
        <w:t xml:space="preserve">7. Comment accéder aux obligations en tant que particulier ?</w:t>
      </w:r>
    </w:p>
    <w:p>
      <w:pPr>
        <w:spacing w:after="120"/>
      </w:pPr>
      <w:r>
        <w:rPr>
          <w:rFonts w:ascii="Times New Roman" w:cs="Times New Roman" w:eastAsia="Times New Roman" w:hAnsi="Times New Roman"/>
          <w:color w:val="1F2937"/>
          <w:sz w:val="22"/>
          <w:szCs w:val="22"/>
        </w:rPr>
        <w:t xml:space="preserve">Trois voies principales (source : La Finance pour Tous, « Acquérir des obligations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B3A6B" w:color="1B3A6B" w:val="solid"/>
          </w:tcPr>
          <w:p>
            <w:pPr>
              <w:jc w:val="center"/>
            </w:pPr>
            <w:r>
              <w:rPr>
                <w:rFonts w:ascii="Times New Roman" w:cs="Times New Roman" w:eastAsia="Times New Roman" w:hAnsi="Times New Roman"/>
                <w:b/>
                <w:bCs/>
                <w:color w:val="FFFFFF"/>
                <w:sz w:val="20"/>
                <w:szCs w:val="20"/>
              </w:rPr>
              <w:t xml:space="preserve">Voie d'accès</w:t>
            </w:r>
          </w:p>
        </w:tc>
        <w:tc>
          <w:tcPr>
            <w:shd w:fill="1B3A6B" w:color="1B3A6B" w:val="solid"/>
          </w:tcPr>
          <w:p>
            <w:pPr>
              <w:jc w:val="center"/>
            </w:pPr>
            <w:r>
              <w:rPr>
                <w:rFonts w:ascii="Times New Roman" w:cs="Times New Roman" w:eastAsia="Times New Roman" w:hAnsi="Times New Roman"/>
                <w:b/>
                <w:bCs/>
                <w:color w:val="FFFFFF"/>
                <w:sz w:val="20"/>
                <w:szCs w:val="20"/>
              </w:rPr>
              <w:t xml:space="preserve">Avantages</w:t>
            </w:r>
          </w:p>
        </w:tc>
        <w:tc>
          <w:tcPr>
            <w:shd w:fill="1B3A6B" w:color="1B3A6B" w:val="solid"/>
          </w:tcPr>
          <w:p>
            <w:pPr>
              <w:jc w:val="center"/>
            </w:pPr>
            <w:r>
              <w:rPr>
                <w:rFonts w:ascii="Times New Roman" w:cs="Times New Roman" w:eastAsia="Times New Roman" w:hAnsi="Times New Roman"/>
                <w:b/>
                <w:bCs/>
                <w:color w:val="FFFFFF"/>
                <w:sz w:val="20"/>
                <w:szCs w:val="20"/>
              </w:rPr>
              <w:t xml:space="preserve">Inconvénients</w:t>
            </w:r>
          </w:p>
        </w:tc>
        <w:tc>
          <w:tcPr>
            <w:shd w:fill="1B3A6B" w:color="1B3A6B" w:val="solid"/>
          </w:tcPr>
          <w:p>
            <w:pPr>
              <w:jc w:val="center"/>
            </w:pPr>
            <w:r>
              <w:rPr>
                <w:rFonts w:ascii="Times New Roman" w:cs="Times New Roman" w:eastAsia="Times New Roman" w:hAnsi="Times New Roman"/>
                <w:b/>
                <w:bCs/>
                <w:color w:val="FFFFFF"/>
                <w:sz w:val="20"/>
                <w:szCs w:val="20"/>
              </w:rPr>
              <w:t xml:space="preserve">Adapté à…</w:t>
            </w:r>
          </w:p>
        </w:tc>
      </w:tr>
      <w:tr>
        <w:tc>
          <w:tcPr>
            <w:shd w:fill="FFFFFF" w:color="FFFFFF" w:val="solid"/>
          </w:tcPr>
          <w:p>
            <w:r>
              <w:rPr>
                <w:rFonts w:ascii="Times New Roman" w:cs="Times New Roman" w:eastAsia="Times New Roman" w:hAnsi="Times New Roman"/>
                <w:color w:val="1F2937"/>
                <w:sz w:val="20"/>
                <w:szCs w:val="20"/>
              </w:rPr>
              <w:t xml:space="preserve">Direct (OAT, obligations d'entreprise)</w:t>
            </w:r>
          </w:p>
        </w:tc>
        <w:tc>
          <w:tcPr>
            <w:shd w:fill="FFFFFF" w:color="FFFFFF" w:val="solid"/>
          </w:tcPr>
          <w:p>
            <w:r>
              <w:rPr>
                <w:rFonts w:ascii="Times New Roman" w:cs="Times New Roman" w:eastAsia="Times New Roman" w:hAnsi="Times New Roman"/>
                <w:color w:val="1F2937"/>
                <w:sz w:val="20"/>
                <w:szCs w:val="20"/>
              </w:rPr>
              <w:t xml:space="preserve">Maîtrise totale, coupon connu</w:t>
            </w:r>
          </w:p>
        </w:tc>
        <w:tc>
          <w:tcPr>
            <w:shd w:fill="FFFFFF" w:color="FFFFFF" w:val="solid"/>
          </w:tcPr>
          <w:p>
            <w:r>
              <w:rPr>
                <w:rFonts w:ascii="Times New Roman" w:cs="Times New Roman" w:eastAsia="Times New Roman" w:hAnsi="Times New Roman"/>
                <w:color w:val="1F2937"/>
                <w:sz w:val="20"/>
                <w:szCs w:val="20"/>
              </w:rPr>
              <w:t xml:space="preserve">Montants élevés, complexité, risque de concentration</w:t>
            </w:r>
          </w:p>
        </w:tc>
        <w:tc>
          <w:tcPr>
            <w:shd w:fill="FFFFFF" w:color="FFFFFF" w:val="solid"/>
          </w:tcPr>
          <w:p>
            <w:r>
              <w:rPr>
                <w:rFonts w:ascii="Times New Roman" w:cs="Times New Roman" w:eastAsia="Times New Roman" w:hAnsi="Times New Roman"/>
                <w:color w:val="1F2937"/>
                <w:sz w:val="20"/>
                <w:szCs w:val="20"/>
              </w:rPr>
              <w:t xml:space="preserve">Investisseurs avertis avec capital important</w:t>
            </w:r>
          </w:p>
        </w:tc>
      </w:tr>
      <w:tr>
        <w:tc>
          <w:tcPr>
            <w:shd w:fill="EEF2F7" w:color="EEF2F7" w:val="solid"/>
          </w:tcPr>
          <w:p>
            <w:r>
              <w:rPr>
                <w:rFonts w:ascii="Times New Roman" w:cs="Times New Roman" w:eastAsia="Times New Roman" w:hAnsi="Times New Roman"/>
                <w:color w:val="1F2937"/>
                <w:sz w:val="20"/>
                <w:szCs w:val="20"/>
              </w:rPr>
              <w:t xml:space="preserve">Fonds obligataires (SICAV/FCP)</w:t>
            </w:r>
          </w:p>
        </w:tc>
        <w:tc>
          <w:tcPr>
            <w:shd w:fill="EEF2F7" w:color="EEF2F7" w:val="solid"/>
          </w:tcPr>
          <w:p>
            <w:r>
              <w:rPr>
                <w:rFonts w:ascii="Times New Roman" w:cs="Times New Roman" w:eastAsia="Times New Roman" w:hAnsi="Times New Roman"/>
                <w:color w:val="1F2937"/>
                <w:sz w:val="20"/>
                <w:szCs w:val="20"/>
              </w:rPr>
              <w:t xml:space="preserve">Diversification, gestion déléguée, liquidité quotidienne</w:t>
            </w:r>
          </w:p>
        </w:tc>
        <w:tc>
          <w:tcPr>
            <w:shd w:fill="EEF2F7" w:color="EEF2F7" w:val="solid"/>
          </w:tcPr>
          <w:p>
            <w:r>
              <w:rPr>
                <w:rFonts w:ascii="Times New Roman" w:cs="Times New Roman" w:eastAsia="Times New Roman" w:hAnsi="Times New Roman"/>
                <w:color w:val="1F2937"/>
                <w:sz w:val="20"/>
                <w:szCs w:val="20"/>
              </w:rPr>
              <w:t xml:space="preserve">Frais de gestion, aucune garantie en capital</w:t>
            </w:r>
          </w:p>
        </w:tc>
        <w:tc>
          <w:tcPr>
            <w:shd w:fill="EEF2F7" w:color="EEF2F7" w:val="solid"/>
          </w:tcPr>
          <w:p>
            <w:r>
              <w:rPr>
                <w:rFonts w:ascii="Times New Roman" w:cs="Times New Roman" w:eastAsia="Times New Roman" w:hAnsi="Times New Roman"/>
                <w:color w:val="1F2937"/>
                <w:sz w:val="20"/>
                <w:szCs w:val="20"/>
              </w:rPr>
              <w:t xml:space="preserve">Particuliers souhaitant déléguer</w:t>
            </w:r>
          </w:p>
        </w:tc>
      </w:tr>
      <w:tr>
        <w:tc>
          <w:tcPr>
            <w:shd w:fill="FFFFFF" w:color="FFFFFF" w:val="solid"/>
          </w:tcPr>
          <w:p>
            <w:r>
              <w:rPr>
                <w:rFonts w:ascii="Times New Roman" w:cs="Times New Roman" w:eastAsia="Times New Roman" w:hAnsi="Times New Roman"/>
                <w:color w:val="1F2937"/>
                <w:sz w:val="20"/>
                <w:szCs w:val="20"/>
              </w:rPr>
              <w:t xml:space="preserve">ETF obligataires</w:t>
            </w:r>
          </w:p>
        </w:tc>
        <w:tc>
          <w:tcPr>
            <w:shd w:fill="FFFFFF" w:color="FFFFFF" w:val="solid"/>
          </w:tcPr>
          <w:p>
            <w:r>
              <w:rPr>
                <w:rFonts w:ascii="Times New Roman" w:cs="Times New Roman" w:eastAsia="Times New Roman" w:hAnsi="Times New Roman"/>
                <w:color w:val="1F2937"/>
                <w:sz w:val="20"/>
                <w:szCs w:val="20"/>
              </w:rPr>
              <w:t xml:space="preserve">Frais très faibles, diversification, transparence</w:t>
            </w:r>
          </w:p>
        </w:tc>
        <w:tc>
          <w:tcPr>
            <w:shd w:fill="FFFFFF" w:color="FFFFFF" w:val="solid"/>
          </w:tcPr>
          <w:p>
            <w:r>
              <w:rPr>
                <w:rFonts w:ascii="Times New Roman" w:cs="Times New Roman" w:eastAsia="Times New Roman" w:hAnsi="Times New Roman"/>
                <w:color w:val="1F2937"/>
                <w:sz w:val="20"/>
                <w:szCs w:val="20"/>
              </w:rPr>
              <w:t xml:space="preserve">Variation de prix quotidienne, risque de taux non amorti</w:t>
            </w:r>
          </w:p>
        </w:tc>
        <w:tc>
          <w:tcPr>
            <w:shd w:fill="FFFFFF" w:color="FFFFFF" w:val="solid"/>
          </w:tcPr>
          <w:p>
            <w:r>
              <w:rPr>
                <w:rFonts w:ascii="Times New Roman" w:cs="Times New Roman" w:eastAsia="Times New Roman" w:hAnsi="Times New Roman"/>
                <w:color w:val="1F2937"/>
                <w:sz w:val="20"/>
                <w:szCs w:val="20"/>
              </w:rPr>
              <w:t xml:space="preserve">Particuliers à l'aise avec les marchés</w:t>
            </w:r>
          </w:p>
        </w:tc>
      </w:tr>
    </w:tbl>
    <w:p>
      <w:pPr>
        <w:spacing w:after="100"/>
      </w:pPr>
    </w:p>
    <w:p>
      <w:pPr>
        <w:spacing w:after="120"/>
      </w:pPr>
      <w:r>
        <w:rPr>
          <w:rFonts w:ascii="Times New Roman" w:cs="Times New Roman" w:eastAsia="Times New Roman" w:hAnsi="Times New Roman"/>
          <w:i/>
          <w:iCs/>
          <w:color w:val="1F2937"/>
          <w:sz w:val="22"/>
          <w:szCs w:val="22"/>
        </w:rPr>
        <w:t xml:space="preserve">💡 Les fonds en euros des contrats d'assurance-vie sont composés à 80-100 % d'obligations. En choisissant un fonds en euros, tu es déjà un investisseur obligataire — souvent sans le savoir.</w:t>
      </w:r>
    </w:p>
    <w:p>
      <w:pPr>
        <w:pStyle w:val="Heading3"/>
        <w:spacing w:after="80" w:before="160"/>
      </w:pPr>
      <w:r>
        <w:rPr>
          <w:rFonts w:ascii="Times New Roman" w:cs="Times New Roman" w:eastAsia="Times New Roman" w:hAnsi="Times New Roman"/>
          <w:b/>
          <w:bCs/>
          <w:color w:val="1F2937"/>
          <w:sz w:val="26"/>
          <w:szCs w:val="26"/>
        </w:rPr>
        <w:t xml:space="preserve">8. Fiscalité des revenus obligataires en France (2026)</w:t>
      </w:r>
    </w:p>
    <w:p>
      <w:pPr>
        <w:shd w:fill="F3F4F6" w:color="F3F4F6" w:val="solid"/>
        <w:spacing w:after="140" w:before="80"/>
        <w:ind w:left="300" w:right="300"/>
      </w:pPr>
      <w:r>
        <w:rPr>
          <w:rFonts w:ascii="Times New Roman" w:cs="Times New Roman" w:eastAsia="Times New Roman" w:hAnsi="Times New Roman"/>
          <w:b/>
          <w:bCs/>
          <w:color w:val="1F2937"/>
          <w:sz w:val="22"/>
          <w:szCs w:val="22"/>
        </w:rPr>
        <w:t xml:space="preserve">⚠️ Attention : le PFU a évolué au 1ᵉʳ janvier 2026 (hausse des prélèvements sociaux de 17,2 % à 18,6 % pour la grande majorité des produits).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B3A6B" w:color="1B3A6B" w:val="solid"/>
          </w:tcPr>
          <w:p>
            <w:pPr>
              <w:jc w:val="center"/>
            </w:pPr>
            <w:r>
              <w:rPr>
                <w:rFonts w:ascii="Times New Roman" w:cs="Times New Roman" w:eastAsia="Times New Roman" w:hAnsi="Times New Roman"/>
                <w:b/>
                <w:bCs/>
                <w:color w:val="FFFFFF"/>
                <w:sz w:val="20"/>
                <w:szCs w:val="20"/>
              </w:rPr>
              <w:t xml:space="preserve">Régime</w:t>
            </w:r>
          </w:p>
        </w:tc>
        <w:tc>
          <w:tcPr>
            <w:shd w:fill="1B3A6B" w:color="1B3A6B" w:val="solid"/>
          </w:tcPr>
          <w:p>
            <w:pPr>
              <w:jc w:val="center"/>
            </w:pPr>
            <w:r>
              <w:rPr>
                <w:rFonts w:ascii="Times New Roman" w:cs="Times New Roman" w:eastAsia="Times New Roman" w:hAnsi="Times New Roman"/>
                <w:b/>
                <w:bCs/>
                <w:color w:val="FFFFFF"/>
                <w:sz w:val="20"/>
                <w:szCs w:val="20"/>
              </w:rPr>
              <w:t xml:space="preserve">Taux IR</w:t>
            </w:r>
          </w:p>
        </w:tc>
        <w:tc>
          <w:tcPr>
            <w:shd w:fill="1B3A6B" w:color="1B3A6B" w:val="solid"/>
          </w:tcPr>
          <w:p>
            <w:pPr>
              <w:jc w:val="center"/>
            </w:pPr>
            <w:r>
              <w:rPr>
                <w:rFonts w:ascii="Times New Roman" w:cs="Times New Roman" w:eastAsia="Times New Roman" w:hAnsi="Times New Roman"/>
                <w:b/>
                <w:bCs/>
                <w:color w:val="FFFFFF"/>
                <w:sz w:val="20"/>
                <w:szCs w:val="20"/>
              </w:rPr>
              <w:t xml:space="preserve">Prélèvements sociaux</w:t>
            </w:r>
          </w:p>
        </w:tc>
        <w:tc>
          <w:tcPr>
            <w:shd w:fill="1B3A6B" w:color="1B3A6B" w:val="solid"/>
          </w:tcPr>
          <w:p>
            <w:pPr>
              <w:jc w:val="center"/>
            </w:pPr>
            <w:r>
              <w:rPr>
                <w:rFonts w:ascii="Times New Roman" w:cs="Times New Roman" w:eastAsia="Times New Roman" w:hAnsi="Times New Roman"/>
                <w:b/>
                <w:bCs/>
                <w:color w:val="FFFFFF"/>
                <w:sz w:val="20"/>
                <w:szCs w:val="20"/>
              </w:rPr>
              <w:t xml:space="preserve">Total</w:t>
            </w:r>
          </w:p>
        </w:tc>
        <w:tc>
          <w:tcPr>
            <w:shd w:fill="1B3A6B" w:color="1B3A6B" w:val="solid"/>
          </w:tcPr>
          <w:p>
            <w:pPr>
              <w:jc w:val="center"/>
            </w:pPr>
            <w:r>
              <w:rPr>
                <w:rFonts w:ascii="Times New Roman" w:cs="Times New Roman" w:eastAsia="Times New Roman" w:hAnsi="Times New Roman"/>
                <w:b/>
                <w:bCs/>
                <w:color w:val="FFFFFF"/>
                <w:sz w:val="20"/>
                <w:szCs w:val="20"/>
              </w:rPr>
              <w:t xml:space="preserve">Exceptions</w:t>
            </w:r>
          </w:p>
        </w:tc>
      </w:tr>
      <w:tr>
        <w:tc>
          <w:tcPr>
            <w:shd w:fill="FFFFFF" w:color="FFFFFF" w:val="solid"/>
          </w:tcPr>
          <w:p>
            <w:r>
              <w:rPr>
                <w:rFonts w:ascii="Times New Roman" w:cs="Times New Roman" w:eastAsia="Times New Roman" w:hAnsi="Times New Roman"/>
                <w:color w:val="1F2937"/>
                <w:sz w:val="20"/>
                <w:szCs w:val="20"/>
              </w:rPr>
              <w:t xml:space="preserve">PFU (flat tax) — régime par défaut</w:t>
            </w:r>
          </w:p>
        </w:tc>
        <w:tc>
          <w:tcPr>
            <w:shd w:fill="FFFFFF" w:color="FFFFFF" w:val="solid"/>
          </w:tcPr>
          <w:p>
            <w:r>
              <w:rPr>
                <w:rFonts w:ascii="Times New Roman" w:cs="Times New Roman" w:eastAsia="Times New Roman" w:hAnsi="Times New Roman"/>
                <w:color w:val="1F2937"/>
                <w:sz w:val="20"/>
                <w:szCs w:val="20"/>
              </w:rPr>
              <w:t xml:space="preserve">12,8 %</w:t>
            </w:r>
          </w:p>
        </w:tc>
        <w:tc>
          <w:tcPr>
            <w:shd w:fill="FFFFFF" w:color="FFFFFF" w:val="solid"/>
          </w:tcPr>
          <w:p>
            <w:r>
              <w:rPr>
                <w:rFonts w:ascii="Times New Roman" w:cs="Times New Roman" w:eastAsia="Times New Roman" w:hAnsi="Times New Roman"/>
                <w:color w:val="1F2937"/>
                <w:sz w:val="20"/>
                <w:szCs w:val="20"/>
              </w:rPr>
              <w:t xml:space="preserve">18,6 %</w:t>
            </w:r>
          </w:p>
        </w:tc>
        <w:tc>
          <w:tcPr>
            <w:shd w:fill="FFFFFF" w:color="FFFFFF" w:val="solid"/>
          </w:tcPr>
          <w:p>
            <w:r>
              <w:rPr>
                <w:rFonts w:ascii="Times New Roman" w:cs="Times New Roman" w:eastAsia="Times New Roman" w:hAnsi="Times New Roman"/>
                <w:color w:val="1F2937"/>
                <w:sz w:val="20"/>
                <w:szCs w:val="20"/>
              </w:rPr>
              <w:t xml:space="preserve">31,4 %</w:t>
            </w:r>
          </w:p>
        </w:tc>
        <w:tc>
          <w:tcPr>
            <w:shd w:fill="FFFFFF" w:color="FFFFFF" w:val="solid"/>
          </w:tcPr>
          <w:p>
            <w:r>
              <w:rPr>
                <w:rFonts w:ascii="Times New Roman" w:cs="Times New Roman" w:eastAsia="Times New Roman" w:hAnsi="Times New Roman"/>
                <w:color w:val="1F2937"/>
                <w:sz w:val="20"/>
                <w:szCs w:val="20"/>
              </w:rPr>
              <w:t xml:space="preserve">—</w:t>
            </w:r>
          </w:p>
        </w:tc>
      </w:tr>
      <w:tr>
        <w:tc>
          <w:tcPr>
            <w:shd w:fill="EEF2F7" w:color="EEF2F7" w:val="solid"/>
          </w:tcPr>
          <w:p>
            <w:r>
              <w:rPr>
                <w:rFonts w:ascii="Times New Roman" w:cs="Times New Roman" w:eastAsia="Times New Roman" w:hAnsi="Times New Roman"/>
                <w:color w:val="1F2937"/>
                <w:sz w:val="20"/>
                <w:szCs w:val="20"/>
              </w:rPr>
              <w:t xml:space="preserve">PEL, CEL, assurance-vie (selon conditions)</w:t>
            </w:r>
          </w:p>
        </w:tc>
        <w:tc>
          <w:tcPr>
            <w:shd w:fill="EEF2F7" w:color="EEF2F7" w:val="solid"/>
          </w:tcPr>
          <w:p>
            <w:r>
              <w:rPr>
                <w:rFonts w:ascii="Times New Roman" w:cs="Times New Roman" w:eastAsia="Times New Roman" w:hAnsi="Times New Roman"/>
                <w:color w:val="1F2937"/>
                <w:sz w:val="20"/>
                <w:szCs w:val="20"/>
              </w:rPr>
              <w:t xml:space="preserve">12,8 %</w:t>
            </w:r>
          </w:p>
        </w:tc>
        <w:tc>
          <w:tcPr>
            <w:shd w:fill="EEF2F7" w:color="EEF2F7" w:val="solid"/>
          </w:tcPr>
          <w:p>
            <w:r>
              <w:rPr>
                <w:rFonts w:ascii="Times New Roman" w:cs="Times New Roman" w:eastAsia="Times New Roman" w:hAnsi="Times New Roman"/>
                <w:color w:val="1F2937"/>
                <w:sz w:val="20"/>
                <w:szCs w:val="20"/>
              </w:rPr>
              <w:t xml:space="preserve">17,2 %</w:t>
            </w:r>
          </w:p>
        </w:tc>
        <w:tc>
          <w:tcPr>
            <w:shd w:fill="EEF2F7" w:color="EEF2F7" w:val="solid"/>
          </w:tcPr>
          <w:p>
            <w:r>
              <w:rPr>
                <w:rFonts w:ascii="Times New Roman" w:cs="Times New Roman" w:eastAsia="Times New Roman" w:hAnsi="Times New Roman"/>
                <w:color w:val="1F2937"/>
                <w:sz w:val="20"/>
                <w:szCs w:val="20"/>
              </w:rPr>
              <w:t xml:space="preserve">29,2 %</w:t>
            </w:r>
          </w:p>
        </w:tc>
        <w:tc>
          <w:tcPr>
            <w:shd w:fill="EEF2F7" w:color="EEF2F7" w:val="solid"/>
          </w:tcPr>
          <w:p>
            <w:r>
              <w:rPr>
                <w:rFonts w:ascii="Times New Roman" w:cs="Times New Roman" w:eastAsia="Times New Roman" w:hAnsi="Times New Roman"/>
                <w:color w:val="1F2937"/>
                <w:sz w:val="20"/>
                <w:szCs w:val="20"/>
              </w:rPr>
              <w:t xml:space="preserve">Oui — taux maintenu à 17,2 %</w:t>
            </w:r>
          </w:p>
        </w:tc>
      </w:tr>
      <w:tr>
        <w:tc>
          <w:tcPr>
            <w:shd w:fill="FFFFFF" w:color="FFFFFF" w:val="solid"/>
          </w:tcPr>
          <w:p>
            <w:r>
              <w:rPr>
                <w:rFonts w:ascii="Times New Roman" w:cs="Times New Roman" w:eastAsia="Times New Roman" w:hAnsi="Times New Roman"/>
                <w:color w:val="1F2937"/>
                <w:sz w:val="20"/>
                <w:szCs w:val="20"/>
              </w:rPr>
              <w:t xml:space="preserve">Option barème progressif</w:t>
            </w:r>
          </w:p>
        </w:tc>
        <w:tc>
          <w:tcPr>
            <w:shd w:fill="FFFFFF" w:color="FFFFFF" w:val="solid"/>
          </w:tcPr>
          <w:p>
            <w:r>
              <w:rPr>
                <w:rFonts w:ascii="Times New Roman" w:cs="Times New Roman" w:eastAsia="Times New Roman" w:hAnsi="Times New Roman"/>
                <w:color w:val="1F2937"/>
                <w:sz w:val="20"/>
                <w:szCs w:val="20"/>
              </w:rPr>
              <w:t xml:space="preserve">Variable (TMI)</w:t>
            </w:r>
          </w:p>
        </w:tc>
        <w:tc>
          <w:tcPr>
            <w:shd w:fill="FFFFFF" w:color="FFFFFF" w:val="solid"/>
          </w:tcPr>
          <w:p>
            <w:r>
              <w:rPr>
                <w:rFonts w:ascii="Times New Roman" w:cs="Times New Roman" w:eastAsia="Times New Roman" w:hAnsi="Times New Roman"/>
                <w:color w:val="1F2937"/>
                <w:sz w:val="20"/>
                <w:szCs w:val="20"/>
              </w:rPr>
              <w:t xml:space="preserve">18,6 % − déductibilité CSG 6,8 %</w:t>
            </w:r>
          </w:p>
        </w:tc>
        <w:tc>
          <w:tcPr>
            <w:shd w:fill="FFFFFF" w:color="FFFFFF" w:val="solid"/>
          </w:tcPr>
          <w:p>
            <w:r>
              <w:rPr>
                <w:rFonts w:ascii="Times New Roman" w:cs="Times New Roman" w:eastAsia="Times New Roman" w:hAnsi="Times New Roman"/>
                <w:color w:val="1F2937"/>
                <w:sz w:val="20"/>
                <w:szCs w:val="20"/>
              </w:rPr>
              <w:t xml:space="preserve">Variable</w:t>
            </w:r>
          </w:p>
        </w:tc>
        <w:tc>
          <w:tcPr>
            <w:shd w:fill="FFFFFF" w:color="FFFFFF" w:val="solid"/>
          </w:tcPr>
          <w:p>
            <w:r>
              <w:rPr>
                <w:rFonts w:ascii="Times New Roman" w:cs="Times New Roman" w:eastAsia="Times New Roman" w:hAnsi="Times New Roman"/>
                <w:color w:val="1F2937"/>
                <w:sz w:val="20"/>
                <w:szCs w:val="20"/>
              </w:rPr>
              <w:t xml:space="preserve">Tout ou rien (tous les placements du PFU)</w:t>
            </w:r>
          </w:p>
        </w:tc>
      </w:tr>
    </w:tbl>
    <w:p>
      <w:pPr>
        <w:spacing w:after="100"/>
      </w:pPr>
    </w:p>
    <w:p>
      <w:pPr>
        <w:spacing w:after="120"/>
      </w:pPr>
      <w:r>
        <w:rPr>
          <w:rFonts w:ascii="Times New Roman" w:cs="Times New Roman" w:eastAsia="Times New Roman" w:hAnsi="Times New Roman"/>
          <w:b/>
          <w:bCs/>
          <w:color w:val="1F2937"/>
          <w:sz w:val="22"/>
          <w:szCs w:val="22"/>
        </w:rPr>
        <w:t xml:space="preserve">Acompte à la source : </w:t>
      </w:r>
      <w:r>
        <w:rPr>
          <w:rFonts w:ascii="Times New Roman" w:cs="Times New Roman" w:eastAsia="Times New Roman" w:hAnsi="Times New Roman"/>
          <w:color w:val="1F2937"/>
          <w:sz w:val="22"/>
          <w:szCs w:val="22"/>
        </w:rPr>
        <w:t xml:space="preserve">un acompte de 12,8 % est prélevé par l'établissement payeur à chaque versement de coupon. Cet acompte est non libératoire : il constitue un avance d'impôt régularisée lors de la déclaration annuelle.</w:t>
      </w:r>
    </w:p>
    <w:p>
      <w:pPr>
        <w:spacing w:after="120"/>
      </w:pPr>
      <w:r>
        <w:rPr>
          <w:rFonts w:ascii="Times New Roman" w:cs="Times New Roman" w:eastAsia="Times New Roman" w:hAnsi="Times New Roman"/>
          <w:color w:val="1F2937"/>
          <w:sz w:val="22"/>
          <w:szCs w:val="22"/>
        </w:rPr>
        <w:t xml:space="preserve">Dispense d'acompte possible sous condition de revenu fiscal de référence : &lt; 25 000 € (célibataire) ou &lt; 50 000 € (couple) pour les intérêts. Demande à effectuer avant le 30 novembre auprès de l'établissement payeur. (Source : La Finance pour Tous, « Obligations : quelle fiscalité ? »)</w:t>
      </w:r>
    </w:p>
    <w:p>
      <w:pPr>
        <w:spacing w:after="120"/>
      </w:pPr>
      <w:r>
        <w:rPr>
          <w:rFonts w:ascii="Times New Roman" w:cs="Times New Roman" w:eastAsia="Times New Roman" w:hAnsi="Times New Roman"/>
          <w:i/>
          <w:iCs/>
          <w:color w:val="1F2937"/>
          <w:sz w:val="22"/>
          <w:szCs w:val="22"/>
        </w:rPr>
        <w:t xml:space="preserve">⚠️ Ces taux proviennent de la page « Obligations : quelle fiscalité ? » de La Finance pour Tous (IEFP), consultée le 29/08/2026. Pour les produits soumis à régimes dérogatoires (assurance-vie, PEL antérieurs à 2018, etc.), vérifier impots.gouv.fr ou auprès d'un CGP.</w:t>
      </w:r>
    </w:p>
    <w:p>
      <w:pPr>
        <w:spacing w:after="160" w:before="160"/>
      </w:pPr>
      <w:r>
        <w:rPr>
          <w:rFonts w:ascii="Times New Roman" w:cs="Times New Roman" w:eastAsia="Times New Roman" w:hAnsi="Times New Roman"/>
          <w:color w:val="D1D5DB"/>
          <w:sz w:val="22"/>
          <w:szCs w:val="22"/>
        </w:rPr>
        <w:t xml:space="preserve">────────────────────────────────────────────────────</w:t>
      </w:r>
    </w:p>
    <w:p>
      <w:pPr>
        <w:pStyle w:val="Heading2"/>
        <w:spacing w:after="100" w:before="240"/>
      </w:pPr>
      <w:r>
        <w:rPr>
          <w:rFonts w:ascii="Times New Roman" w:cs="Times New Roman" w:eastAsia="Times New Roman" w:hAnsi="Times New Roman"/>
          <w:b/>
          <w:bCs/>
          <w:color w:val="1B3A6B"/>
          <w:sz w:val="30"/>
          <w:szCs w:val="30"/>
        </w:rPr>
        <w:t xml:space="preserve">🛠️ Pratique (80 %) — Exercices</w:t>
      </w:r>
    </w:p>
    <w:p>
      <w:pPr>
        <w:pStyle w:val="Heading3"/>
        <w:spacing w:after="80" w:before="160"/>
      </w:pPr>
      <w:r>
        <w:rPr>
          <w:rFonts w:ascii="Times New Roman" w:cs="Times New Roman" w:eastAsia="Times New Roman" w:hAnsi="Times New Roman"/>
          <w:b/>
          <w:bCs/>
          <w:color w:val="1F2937"/>
          <w:sz w:val="26"/>
          <w:szCs w:val="26"/>
        </w:rPr>
        <w:t xml:space="preserve">Exercice 1 — Calcul du coupon et du rendement courant</w:t>
      </w:r>
    </w:p>
    <w:p>
      <w:pPr>
        <w:spacing w:after="120"/>
      </w:pPr>
      <w:r>
        <w:rPr>
          <w:rFonts w:ascii="Times New Roman" w:cs="Times New Roman" w:eastAsia="Times New Roman" w:hAnsi="Times New Roman"/>
          <w:color w:val="1F2937"/>
          <w:sz w:val="22"/>
          <w:szCs w:val="22"/>
        </w:rPr>
        <w:t xml:space="preserve">Tu envisages d'acheter une obligation d'entreprise avec les caractéristiques suivantes :</w:t>
      </w:r>
    </w:p>
    <w:p>
      <w:pPr>
        <w:pStyle w:val="ListParagraph"/>
        <w:numPr>
          <w:ilvl w:val="0"/>
          <w:numId w:val="1"/>
        </w:numPr>
        <w:spacing w:after="60"/>
        <w:ind w:left="720"/>
      </w:pPr>
      <w:r>
        <w:rPr>
          <w:rFonts w:ascii="Times New Roman" w:cs="Times New Roman" w:eastAsia="Times New Roman" w:hAnsi="Times New Roman"/>
          <w:color w:val="1F2937"/>
          <w:sz w:val="22"/>
          <w:szCs w:val="22"/>
        </w:rPr>
        <w:t xml:space="preserve">Valeur nominale : 1 000 €</w:t>
      </w:r>
    </w:p>
    <w:p>
      <w:pPr>
        <w:pStyle w:val="ListParagraph"/>
        <w:numPr>
          <w:ilvl w:val="0"/>
          <w:numId w:val="1"/>
        </w:numPr>
        <w:spacing w:after="60"/>
        <w:ind w:left="720"/>
      </w:pPr>
      <w:r>
        <w:rPr>
          <w:rFonts w:ascii="Times New Roman" w:cs="Times New Roman" w:eastAsia="Times New Roman" w:hAnsi="Times New Roman"/>
          <w:color w:val="1F2937"/>
          <w:sz w:val="22"/>
          <w:szCs w:val="22"/>
        </w:rPr>
        <w:t xml:space="preserve">Taux nominal : 3,20 %</w:t>
      </w:r>
    </w:p>
    <w:p>
      <w:pPr>
        <w:pStyle w:val="ListParagraph"/>
        <w:numPr>
          <w:ilvl w:val="0"/>
          <w:numId w:val="1"/>
        </w:numPr>
        <w:spacing w:after="60"/>
        <w:ind w:left="720"/>
      </w:pPr>
      <w:r>
        <w:rPr>
          <w:rFonts w:ascii="Times New Roman" w:cs="Times New Roman" w:eastAsia="Times New Roman" w:hAnsi="Times New Roman"/>
          <w:color w:val="1F2937"/>
          <w:sz w:val="22"/>
          <w:szCs w:val="22"/>
        </w:rPr>
        <w:t xml:space="preserve">Cours actuel sur le marché secondaire : 94,5 % du nominal</w:t>
      </w:r>
    </w:p>
    <w:p>
      <w:pPr>
        <w:pStyle w:val="ListParagraph"/>
        <w:numPr>
          <w:ilvl w:val="0"/>
          <w:numId w:val="1"/>
        </w:numPr>
        <w:spacing w:after="60"/>
        <w:ind w:left="720"/>
      </w:pPr>
      <w:r>
        <w:rPr>
          <w:rFonts w:ascii="Times New Roman" w:cs="Times New Roman" w:eastAsia="Times New Roman" w:hAnsi="Times New Roman"/>
          <w:color w:val="1F2937"/>
          <w:sz w:val="22"/>
          <w:szCs w:val="22"/>
        </w:rPr>
        <w:t xml:space="preserve">Maturité résiduelle : 6 ans</w:t>
      </w:r>
    </w:p>
    <w:p>
      <w:pPr>
        <w:spacing w:after="120"/>
      </w:pPr>
      <w:r>
        <w:rPr>
          <w:rFonts w:ascii="Times New Roman" w:cs="Times New Roman" w:eastAsia="Times New Roman" w:hAnsi="Times New Roman"/>
          <w:b/>
          <w:bCs/>
          <w:color w:val="1F2937"/>
          <w:sz w:val="22"/>
          <w:szCs w:val="22"/>
        </w:rPr>
        <w:t xml:space="preserve">Questions :</w:t>
      </w:r>
    </w:p>
    <w:p>
      <w:pPr>
        <w:pStyle w:val="ListParagraph"/>
        <w:numPr>
          <w:ilvl w:val="0"/>
          <w:numId w:val="1"/>
        </w:numPr>
        <w:spacing w:after="60"/>
        <w:ind w:left="720"/>
      </w:pPr>
      <w:r>
        <w:rPr>
          <w:rFonts w:ascii="Times New Roman" w:cs="Times New Roman" w:eastAsia="Times New Roman" w:hAnsi="Times New Roman"/>
          <w:color w:val="1F2937"/>
          <w:sz w:val="22"/>
          <w:szCs w:val="22"/>
        </w:rPr>
        <w:t xml:space="preserve">a) Quel est le montant du coupon annuel versé ?</w:t>
      </w:r>
    </w:p>
    <w:p>
      <w:pPr>
        <w:pStyle w:val="ListParagraph"/>
        <w:numPr>
          <w:ilvl w:val="0"/>
          <w:numId w:val="1"/>
        </w:numPr>
        <w:spacing w:after="60"/>
        <w:ind w:left="720"/>
      </w:pPr>
      <w:r>
        <w:rPr>
          <w:rFonts w:ascii="Times New Roman" w:cs="Times New Roman" w:eastAsia="Times New Roman" w:hAnsi="Times New Roman"/>
          <w:color w:val="1F2937"/>
          <w:sz w:val="22"/>
          <w:szCs w:val="22"/>
        </w:rPr>
        <w:t xml:space="preserve">b) Quel est le rendement courant de cette obligation ?</w:t>
      </w:r>
    </w:p>
    <w:p>
      <w:pPr>
        <w:pStyle w:val="ListParagraph"/>
        <w:numPr>
          <w:ilvl w:val="0"/>
          <w:numId w:val="1"/>
        </w:numPr>
        <w:spacing w:after="60"/>
        <w:ind w:left="720"/>
      </w:pPr>
      <w:r>
        <w:rPr>
          <w:rFonts w:ascii="Times New Roman" w:cs="Times New Roman" w:eastAsia="Times New Roman" w:hAnsi="Times New Roman"/>
          <w:color w:val="1F2937"/>
          <w:sz w:val="22"/>
          <w:szCs w:val="22"/>
        </w:rPr>
        <w:t xml:space="preserve">c) Le fait que le cours soit inférieur au pair (100 %) est-il un signal d'opportunité ou d'alerte ? Développe ta réponse.</w:t>
      </w:r>
    </w:p>
    <w:p>
      <w:pPr>
        <w:spacing w:after="80"/>
      </w:pPr>
    </w:p>
    <w:p>
      <w:pPr>
        <w:shd w:fill="F3F4F6" w:color="F3F4F6" w:val="solid"/>
        <w:spacing w:after="140" w:before="80"/>
        <w:ind w:left="300" w:right="300"/>
      </w:pPr>
      <w:r>
        <w:rPr>
          <w:rFonts w:ascii="Times New Roman" w:cs="Times New Roman" w:eastAsia="Times New Roman" w:hAnsi="Times New Roman"/>
          <w:b/>
          <w:bCs/>
          <w:color w:val="1F2937"/>
          <w:sz w:val="22"/>
          <w:szCs w:val="22"/>
        </w:rPr>
        <w:t xml:space="preserve">✅ Corrigé :</w:t>
      </w:r>
      <w:r>
        <w:rPr>
          <w:rFonts w:ascii="Times New Roman" w:cs="Times New Roman" w:eastAsia="Times New Roman" w:hAnsi="Times New Roman"/>
          <w:color w:val="1F2937"/>
          <w:sz w:val="22"/>
          <w:szCs w:val="22"/>
        </w:rPr>
        <w:t xml:space="preserve">
a) Coupon = 1 000 € × 3,20 % = 32 € par an.</w:t>
      </w:r>
      <w:r>
        <w:rPr>
          <w:rFonts w:ascii="Times New Roman" w:cs="Times New Roman" w:eastAsia="Times New Roman" w:hAnsi="Times New Roman"/>
          <w:color w:val="1F2937"/>
          <w:sz w:val="22"/>
          <w:szCs w:val="22"/>
        </w:rPr>
        <w:t xml:space="preserve">
b) Rendement courant = 32 € ÷ 945 € × 100 = 3,39 %.</w:t>
      </w:r>
      <w:r>
        <w:rPr>
          <w:rFonts w:ascii="Times New Roman" w:cs="Times New Roman" w:eastAsia="Times New Roman" w:hAnsi="Times New Roman"/>
          <w:color w:val="1F2937"/>
          <w:sz w:val="22"/>
          <w:szCs w:val="22"/>
        </w:rPr>
        <w:t xml:space="preserve">
c) Un cours inférieur au pair peut signifier plusieurs choses : les taux du marché ont monté depuis l'émission (relation inverse), et/ou le risque de crédit de l'émetteur a augmenté. Ce n'est pas automatiquement une opportunité — c'est un signal à analyser. Il faut comparer le rendement actuariel avec celui d'obligations comparables et vérifier la notation de l'émetteur.</w:t>
      </w:r>
    </w:p>
    <w:p>
      <w:pPr>
        <w:pStyle w:val="Heading3"/>
        <w:spacing w:after="80" w:before="160"/>
      </w:pPr>
      <w:r>
        <w:rPr>
          <w:rFonts w:ascii="Times New Roman" w:cs="Times New Roman" w:eastAsia="Times New Roman" w:hAnsi="Times New Roman"/>
          <w:b/>
          <w:bCs/>
          <w:color w:val="1F2937"/>
          <w:sz w:val="26"/>
          <w:szCs w:val="26"/>
        </w:rPr>
        <w:t xml:space="preserve">Exercice 2 — La relation taux / prix</w:t>
      </w:r>
    </w:p>
    <w:p>
      <w:pPr>
        <w:spacing w:after="120"/>
      </w:pPr>
      <w:r>
        <w:rPr>
          <w:rFonts w:ascii="Times New Roman" w:cs="Times New Roman" w:eastAsia="Times New Roman" w:hAnsi="Times New Roman"/>
          <w:color w:val="1F2937"/>
          <w:sz w:val="22"/>
          <w:szCs w:val="22"/>
        </w:rPr>
        <w:t xml:space="preserve">Tu possèdes une obligation d'État (OAT) achetée au pair (100) il y a 2 ans, coupon 1,5 %, maturité initiale 10 ans. Depuis lors, les taux directeurs ont fortement remonté et les OAT équivalentes offrent désormais 3,5 % sur le marché.</w:t>
      </w:r>
    </w:p>
    <w:p>
      <w:pPr>
        <w:spacing w:after="120"/>
      </w:pPr>
      <w:r>
        <w:rPr>
          <w:rFonts w:ascii="Times New Roman" w:cs="Times New Roman" w:eastAsia="Times New Roman" w:hAnsi="Times New Roman"/>
          <w:b/>
          <w:bCs/>
          <w:color w:val="1F2937"/>
          <w:sz w:val="22"/>
          <w:szCs w:val="22"/>
        </w:rPr>
        <w:t xml:space="preserve">Questions :</w:t>
      </w:r>
    </w:p>
    <w:p>
      <w:pPr>
        <w:pStyle w:val="ListParagraph"/>
        <w:numPr>
          <w:ilvl w:val="0"/>
          <w:numId w:val="1"/>
        </w:numPr>
        <w:spacing w:after="60"/>
        <w:ind w:left="720"/>
      </w:pPr>
      <w:r>
        <w:rPr>
          <w:rFonts w:ascii="Times New Roman" w:cs="Times New Roman" w:eastAsia="Times New Roman" w:hAnsi="Times New Roman"/>
          <w:color w:val="1F2937"/>
          <w:sz w:val="22"/>
          <w:szCs w:val="22"/>
        </w:rPr>
        <w:t xml:space="preserve">a) Ton obligation vaut-elle désormais plus ou moins que 100 ? Justifie sans faire de calcul exact.</w:t>
      </w:r>
    </w:p>
    <w:p>
      <w:pPr>
        <w:pStyle w:val="ListParagraph"/>
        <w:numPr>
          <w:ilvl w:val="0"/>
          <w:numId w:val="1"/>
        </w:numPr>
        <w:spacing w:after="60"/>
        <w:ind w:left="720"/>
      </w:pPr>
      <w:r>
        <w:rPr>
          <w:rFonts w:ascii="Times New Roman" w:cs="Times New Roman" w:eastAsia="Times New Roman" w:hAnsi="Times New Roman"/>
          <w:color w:val="1F2937"/>
          <w:sz w:val="22"/>
          <w:szCs w:val="22"/>
        </w:rPr>
        <w:t xml:space="preserve">b) Si tu dois vendre aujourd'hui, réalises-tu une plus-value ou une moins-value ?</w:t>
      </w:r>
    </w:p>
    <w:p>
      <w:pPr>
        <w:pStyle w:val="ListParagraph"/>
        <w:numPr>
          <w:ilvl w:val="0"/>
          <w:numId w:val="1"/>
        </w:numPr>
        <w:spacing w:after="60"/>
        <w:ind w:left="720"/>
      </w:pPr>
      <w:r>
        <w:rPr>
          <w:rFonts w:ascii="Times New Roman" w:cs="Times New Roman" w:eastAsia="Times New Roman" w:hAnsi="Times New Roman"/>
          <w:color w:val="1F2937"/>
          <w:sz w:val="22"/>
          <w:szCs w:val="22"/>
        </w:rPr>
        <w:t xml:space="preserve">c) Quelle est la seule situation où tu récupères ton capital intégral sans perte ?</w:t>
      </w:r>
    </w:p>
    <w:p>
      <w:pPr>
        <w:spacing w:after="80"/>
      </w:pPr>
    </w:p>
    <w:p>
      <w:pPr>
        <w:shd w:fill="F3F4F6" w:color="F3F4F6" w:val="solid"/>
        <w:spacing w:after="140" w:before="80"/>
        <w:ind w:left="300" w:right="300"/>
      </w:pPr>
      <w:r>
        <w:rPr>
          <w:rFonts w:ascii="Times New Roman" w:cs="Times New Roman" w:eastAsia="Times New Roman" w:hAnsi="Times New Roman"/>
          <w:b/>
          <w:bCs/>
          <w:color w:val="1F2937"/>
          <w:sz w:val="22"/>
          <w:szCs w:val="22"/>
        </w:rPr>
        <w:t xml:space="preserve">✅ Corrigé :</w:t>
      </w:r>
      <w:r>
        <w:rPr>
          <w:rFonts w:ascii="Times New Roman" w:cs="Times New Roman" w:eastAsia="Times New Roman" w:hAnsi="Times New Roman"/>
          <w:color w:val="1F2937"/>
          <w:sz w:val="22"/>
          <w:szCs w:val="22"/>
        </w:rPr>
        <w:t xml:space="preserve">
a) Elle vaut moins que 100. Les nouvelles OAT offrant 3,5 % pour le même risque, personne ne paiera le prix plein pour une OAT à 1,5 %. Le marché ajuste le prix à la baisse pour que le rendement courant soit compétitif.</w:t>
      </w:r>
      <w:r>
        <w:rPr>
          <w:rFonts w:ascii="Times New Roman" w:cs="Times New Roman" w:eastAsia="Times New Roman" w:hAnsi="Times New Roman"/>
          <w:color w:val="1F2937"/>
          <w:sz w:val="22"/>
          <w:szCs w:val="22"/>
        </w:rPr>
        <w:t xml:space="preserve">
b) Tu réalises une moins-value (valeur de revente &lt; prix d'achat). C'est le risque de taux en action.</w:t>
      </w:r>
      <w:r>
        <w:rPr>
          <w:rFonts w:ascii="Times New Roman" w:cs="Times New Roman" w:eastAsia="Times New Roman" w:hAnsi="Times New Roman"/>
          <w:color w:val="1F2937"/>
          <w:sz w:val="22"/>
          <w:szCs w:val="22"/>
        </w:rPr>
        <w:t xml:space="preserve">
c) Si tu conserves l'obligation jusqu'à sa maturité (ici, 8 ans restants) : l'émetteur te rembourse alors la valeur nominale intégrale (100), indépendamment des fluctuations intermédiaires de cours.</w:t>
      </w:r>
    </w:p>
    <w:p>
      <w:pPr>
        <w:pStyle w:val="Heading3"/>
        <w:spacing w:after="80" w:before="160"/>
      </w:pPr>
      <w:r>
        <w:rPr>
          <w:rFonts w:ascii="Times New Roman" w:cs="Times New Roman" w:eastAsia="Times New Roman" w:hAnsi="Times New Roman"/>
          <w:b/>
          <w:bCs/>
          <w:color w:val="1F2937"/>
          <w:sz w:val="26"/>
          <w:szCs w:val="26"/>
        </w:rPr>
        <w:t xml:space="preserve">Exercice 3 — Comparer fonds obligataire et ETF obligataire</w:t>
      </w:r>
    </w:p>
    <w:p>
      <w:pPr>
        <w:spacing w:after="120"/>
      </w:pPr>
      <w:r>
        <w:rPr>
          <w:rFonts w:ascii="Times New Roman" w:cs="Times New Roman" w:eastAsia="Times New Roman" w:hAnsi="Times New Roman"/>
          <w:color w:val="1F2937"/>
          <w:sz w:val="22"/>
          <w:szCs w:val="22"/>
        </w:rPr>
        <w:t xml:space="preserve">Voici deux produits présentés par ton conseiller bancaire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color="1B3A6B" w:val="solid"/>
          </w:tcPr>
          <w:p>
            <w:pPr>
              <w:jc w:val="center"/>
            </w:pPr>
            <w:r>
              <w:rPr>
                <w:rFonts w:ascii="Times New Roman" w:cs="Times New Roman" w:eastAsia="Times New Roman" w:hAnsi="Times New Roman"/>
                <w:b/>
                <w:bCs/>
                <w:color w:val="FFFFFF"/>
                <w:sz w:val="20"/>
                <w:szCs w:val="20"/>
              </w:rPr>
              <w:t xml:space="preserve">Critère</w:t>
            </w:r>
          </w:p>
        </w:tc>
        <w:tc>
          <w:tcPr>
            <w:shd w:fill="1B3A6B" w:color="1B3A6B" w:val="solid"/>
          </w:tcPr>
          <w:p>
            <w:pPr>
              <w:jc w:val="center"/>
            </w:pPr>
            <w:r>
              <w:rPr>
                <w:rFonts w:ascii="Times New Roman" w:cs="Times New Roman" w:eastAsia="Times New Roman" w:hAnsi="Times New Roman"/>
                <w:b/>
                <w:bCs/>
                <w:color w:val="FFFFFF"/>
                <w:sz w:val="20"/>
                <w:szCs w:val="20"/>
              </w:rPr>
              <w:t xml:space="preserve">Fonds actif (SICAV obligataire)</w:t>
            </w:r>
          </w:p>
        </w:tc>
        <w:tc>
          <w:tcPr>
            <w:shd w:fill="1B3A6B" w:color="1B3A6B" w:val="solid"/>
          </w:tcPr>
          <w:p>
            <w:pPr>
              <w:jc w:val="center"/>
            </w:pPr>
            <w:r>
              <w:rPr>
                <w:rFonts w:ascii="Times New Roman" w:cs="Times New Roman" w:eastAsia="Times New Roman" w:hAnsi="Times New Roman"/>
                <w:b/>
                <w:bCs/>
                <w:color w:val="FFFFFF"/>
                <w:sz w:val="20"/>
                <w:szCs w:val="20"/>
              </w:rPr>
              <w:t xml:space="preserve">ETF obligataire (ex. ETF zone euro)</w:t>
            </w:r>
          </w:p>
        </w:tc>
      </w:tr>
      <w:tr>
        <w:tc>
          <w:tcPr>
            <w:shd w:fill="FFFFFF" w:color="FFFFFF" w:val="solid"/>
          </w:tcPr>
          <w:p>
            <w:r>
              <w:rPr>
                <w:rFonts w:ascii="Times New Roman" w:cs="Times New Roman" w:eastAsia="Times New Roman" w:hAnsi="Times New Roman"/>
                <w:color w:val="1F2937"/>
                <w:sz w:val="20"/>
                <w:szCs w:val="20"/>
              </w:rPr>
              <w:t xml:space="preserve">Frais de gestion annuels</w:t>
            </w:r>
          </w:p>
        </w:tc>
        <w:tc>
          <w:tcPr>
            <w:shd w:fill="FFFFFF" w:color="FFFFFF" w:val="solid"/>
          </w:tcPr>
          <w:p>
            <w:r>
              <w:rPr>
                <w:rFonts w:ascii="Times New Roman" w:cs="Times New Roman" w:eastAsia="Times New Roman" w:hAnsi="Times New Roman"/>
                <w:color w:val="1F2937"/>
                <w:sz w:val="20"/>
                <w:szCs w:val="20"/>
              </w:rPr>
              <w:t xml:space="preserve">1,2 %</w:t>
            </w:r>
          </w:p>
        </w:tc>
        <w:tc>
          <w:tcPr>
            <w:shd w:fill="FFFFFF" w:color="FFFFFF" w:val="solid"/>
          </w:tcPr>
          <w:p>
            <w:r>
              <w:rPr>
                <w:rFonts w:ascii="Times New Roman" w:cs="Times New Roman" w:eastAsia="Times New Roman" w:hAnsi="Times New Roman"/>
                <w:color w:val="1F2937"/>
                <w:sz w:val="20"/>
                <w:szCs w:val="20"/>
              </w:rPr>
              <w:t xml:space="preserve">0,15 %</w:t>
            </w:r>
          </w:p>
        </w:tc>
      </w:tr>
      <w:tr>
        <w:tc>
          <w:tcPr>
            <w:shd w:fill="EEF2F7" w:color="EEF2F7" w:val="solid"/>
          </w:tcPr>
          <w:p>
            <w:r>
              <w:rPr>
                <w:rFonts w:ascii="Times New Roman" w:cs="Times New Roman" w:eastAsia="Times New Roman" w:hAnsi="Times New Roman"/>
                <w:color w:val="1F2937"/>
                <w:sz w:val="20"/>
                <w:szCs w:val="20"/>
              </w:rPr>
              <w:t xml:space="preserve">Objectif</w:t>
            </w:r>
          </w:p>
        </w:tc>
        <w:tc>
          <w:tcPr>
            <w:shd w:fill="EEF2F7" w:color="EEF2F7" w:val="solid"/>
          </w:tcPr>
          <w:p>
            <w:r>
              <w:rPr>
                <w:rFonts w:ascii="Times New Roman" w:cs="Times New Roman" w:eastAsia="Times New Roman" w:hAnsi="Times New Roman"/>
                <w:color w:val="1F2937"/>
                <w:sz w:val="20"/>
                <w:szCs w:val="20"/>
              </w:rPr>
              <w:t xml:space="preserve">Battre un indice de référence</w:t>
            </w:r>
          </w:p>
        </w:tc>
        <w:tc>
          <w:tcPr>
            <w:shd w:fill="EEF2F7" w:color="EEF2F7" w:val="solid"/>
          </w:tcPr>
          <w:p>
            <w:r>
              <w:rPr>
                <w:rFonts w:ascii="Times New Roman" w:cs="Times New Roman" w:eastAsia="Times New Roman" w:hAnsi="Times New Roman"/>
                <w:color w:val="1F2937"/>
                <w:sz w:val="20"/>
                <w:szCs w:val="20"/>
              </w:rPr>
              <w:t xml:space="preserve">Répliquer un indice</w:t>
            </w:r>
          </w:p>
        </w:tc>
      </w:tr>
      <w:tr>
        <w:tc>
          <w:tcPr>
            <w:shd w:fill="FFFFFF" w:color="FFFFFF" w:val="solid"/>
          </w:tcPr>
          <w:p>
            <w:r>
              <w:rPr>
                <w:rFonts w:ascii="Times New Roman" w:cs="Times New Roman" w:eastAsia="Times New Roman" w:hAnsi="Times New Roman"/>
                <w:color w:val="1F2937"/>
                <w:sz w:val="20"/>
                <w:szCs w:val="20"/>
              </w:rPr>
              <w:t xml:space="preserve">Gestion</w:t>
            </w:r>
          </w:p>
        </w:tc>
        <w:tc>
          <w:tcPr>
            <w:shd w:fill="FFFFFF" w:color="FFFFFF" w:val="solid"/>
          </w:tcPr>
          <w:p>
            <w:r>
              <w:rPr>
                <w:rFonts w:ascii="Times New Roman" w:cs="Times New Roman" w:eastAsia="Times New Roman" w:hAnsi="Times New Roman"/>
                <w:color w:val="1F2937"/>
                <w:sz w:val="20"/>
                <w:szCs w:val="20"/>
              </w:rPr>
              <w:t xml:space="preserve">Gérant professionnel actif</w:t>
            </w:r>
          </w:p>
        </w:tc>
        <w:tc>
          <w:tcPr>
            <w:shd w:fill="FFFFFF" w:color="FFFFFF" w:val="solid"/>
          </w:tcPr>
          <w:p>
            <w:r>
              <w:rPr>
                <w:rFonts w:ascii="Times New Roman" w:cs="Times New Roman" w:eastAsia="Times New Roman" w:hAnsi="Times New Roman"/>
                <w:color w:val="1F2937"/>
                <w:sz w:val="20"/>
                <w:szCs w:val="20"/>
              </w:rPr>
              <w:t xml:space="preserve">Algorithmique / passive</w:t>
            </w:r>
          </w:p>
        </w:tc>
      </w:tr>
      <w:tr>
        <w:tc>
          <w:tcPr>
            <w:shd w:fill="EEF2F7" w:color="EEF2F7" w:val="solid"/>
          </w:tcPr>
          <w:p>
            <w:r>
              <w:rPr>
                <w:rFonts w:ascii="Times New Roman" w:cs="Times New Roman" w:eastAsia="Times New Roman" w:hAnsi="Times New Roman"/>
                <w:color w:val="1F2937"/>
                <w:sz w:val="20"/>
                <w:szCs w:val="20"/>
              </w:rPr>
              <w:t xml:space="preserve">Valorisation</w:t>
            </w:r>
          </w:p>
        </w:tc>
        <w:tc>
          <w:tcPr>
            <w:shd w:fill="EEF2F7" w:color="EEF2F7" w:val="solid"/>
          </w:tcPr>
          <w:p>
            <w:r>
              <w:rPr>
                <w:rFonts w:ascii="Times New Roman" w:cs="Times New Roman" w:eastAsia="Times New Roman" w:hAnsi="Times New Roman"/>
                <w:color w:val="1F2937"/>
                <w:sz w:val="20"/>
                <w:szCs w:val="20"/>
              </w:rPr>
              <w:t xml:space="preserve">Valeur liquidative quotidienne</w:t>
            </w:r>
          </w:p>
        </w:tc>
        <w:tc>
          <w:tcPr>
            <w:shd w:fill="EEF2F7" w:color="EEF2F7" w:val="solid"/>
          </w:tcPr>
          <w:p>
            <w:r>
              <w:rPr>
                <w:rFonts w:ascii="Times New Roman" w:cs="Times New Roman" w:eastAsia="Times New Roman" w:hAnsi="Times New Roman"/>
                <w:color w:val="1F2937"/>
                <w:sz w:val="20"/>
                <w:szCs w:val="20"/>
              </w:rPr>
              <w:t xml:space="preserve">Prix en continu en bourse</w:t>
            </w:r>
          </w:p>
        </w:tc>
      </w:tr>
      <w:tr>
        <w:tc>
          <w:tcPr>
            <w:shd w:fill="FFFFFF" w:color="FFFFFF" w:val="solid"/>
          </w:tcPr>
          <w:p>
            <w:r>
              <w:rPr>
                <w:rFonts w:ascii="Times New Roman" w:cs="Times New Roman" w:eastAsia="Times New Roman" w:hAnsi="Times New Roman"/>
                <w:color w:val="1F2937"/>
                <w:sz w:val="20"/>
                <w:szCs w:val="20"/>
              </w:rPr>
              <w:t xml:space="preserve">Garantie en capital</w:t>
            </w:r>
          </w:p>
        </w:tc>
        <w:tc>
          <w:tcPr>
            <w:shd w:fill="FFFFFF" w:color="FFFFFF" w:val="solid"/>
          </w:tcPr>
          <w:p>
            <w:r>
              <w:rPr>
                <w:rFonts w:ascii="Times New Roman" w:cs="Times New Roman" w:eastAsia="Times New Roman" w:hAnsi="Times New Roman"/>
                <w:color w:val="1F2937"/>
                <w:sz w:val="20"/>
                <w:szCs w:val="20"/>
              </w:rPr>
              <w:t xml:space="preserve">Aucune</w:t>
            </w:r>
          </w:p>
        </w:tc>
        <w:tc>
          <w:tcPr>
            <w:shd w:fill="FFFFFF" w:color="FFFFFF" w:val="solid"/>
          </w:tcPr>
          <w:p>
            <w:r>
              <w:rPr>
                <w:rFonts w:ascii="Times New Roman" w:cs="Times New Roman" w:eastAsia="Times New Roman" w:hAnsi="Times New Roman"/>
                <w:color w:val="1F2937"/>
                <w:sz w:val="20"/>
                <w:szCs w:val="20"/>
              </w:rPr>
              <w:t xml:space="preserve">Aucune</w:t>
            </w:r>
          </w:p>
        </w:tc>
      </w:tr>
    </w:tbl>
    <w:p>
      <w:pPr>
        <w:spacing w:after="80"/>
      </w:pPr>
    </w:p>
    <w:p>
      <w:pPr>
        <w:spacing w:after="120"/>
      </w:pPr>
      <w:r>
        <w:rPr>
          <w:rFonts w:ascii="Times New Roman" w:cs="Times New Roman" w:eastAsia="Times New Roman" w:hAnsi="Times New Roman"/>
          <w:b/>
          <w:bCs/>
          <w:color w:val="1F2937"/>
          <w:sz w:val="22"/>
          <w:szCs w:val="22"/>
        </w:rPr>
        <w:t xml:space="preserve">Questions :</w:t>
      </w:r>
    </w:p>
    <w:p>
      <w:pPr>
        <w:pStyle w:val="ListParagraph"/>
        <w:numPr>
          <w:ilvl w:val="0"/>
          <w:numId w:val="1"/>
        </w:numPr>
        <w:spacing w:after="60"/>
        <w:ind w:left="720"/>
      </w:pPr>
      <w:r>
        <w:rPr>
          <w:rFonts w:ascii="Times New Roman" w:cs="Times New Roman" w:eastAsia="Times New Roman" w:hAnsi="Times New Roman"/>
          <w:color w:val="1F2937"/>
          <w:sz w:val="22"/>
          <w:szCs w:val="22"/>
        </w:rPr>
        <w:t xml:space="preserve">a) Sur 10 ans, quelle est la différence d'impact des frais sur un investissement de 10 000 € (calcul approximatif) ?</w:t>
      </w:r>
    </w:p>
    <w:p>
      <w:pPr>
        <w:pStyle w:val="ListParagraph"/>
        <w:numPr>
          <w:ilvl w:val="0"/>
          <w:numId w:val="1"/>
        </w:numPr>
        <w:spacing w:after="60"/>
        <w:ind w:left="720"/>
      </w:pPr>
      <w:r>
        <w:rPr>
          <w:rFonts w:ascii="Times New Roman" w:cs="Times New Roman" w:eastAsia="Times New Roman" w:hAnsi="Times New Roman"/>
          <w:color w:val="1F2937"/>
          <w:sz w:val="22"/>
          <w:szCs w:val="22"/>
        </w:rPr>
        <w:t xml:space="preserve">b) Dans quel cas un fonds actif peut-il se justifier malgré des frais plus élevés ?</w:t>
      </w:r>
    </w:p>
    <w:p>
      <w:pPr>
        <w:pStyle w:val="ListParagraph"/>
        <w:numPr>
          <w:ilvl w:val="0"/>
          <w:numId w:val="1"/>
        </w:numPr>
        <w:spacing w:after="60"/>
        <w:ind w:left="720"/>
      </w:pPr>
      <w:r>
        <w:rPr>
          <w:rFonts w:ascii="Times New Roman" w:cs="Times New Roman" w:eastAsia="Times New Roman" w:hAnsi="Times New Roman"/>
          <w:color w:val="1F2937"/>
          <w:sz w:val="22"/>
          <w:szCs w:val="22"/>
        </w:rPr>
        <w:t xml:space="preserve">c) Ces deux produits sont-ils compatibles avec une enveloppe d'assurance-vie ou PEE ?</w:t>
      </w:r>
    </w:p>
    <w:p>
      <w:pPr>
        <w:spacing w:after="80"/>
      </w:pPr>
    </w:p>
    <w:p>
      <w:pPr>
        <w:shd w:fill="F3F4F6" w:color="F3F4F6" w:val="solid"/>
        <w:spacing w:after="140" w:before="80"/>
        <w:ind w:left="300" w:right="300"/>
      </w:pPr>
      <w:r>
        <w:rPr>
          <w:rFonts w:ascii="Times New Roman" w:cs="Times New Roman" w:eastAsia="Times New Roman" w:hAnsi="Times New Roman"/>
          <w:b/>
          <w:bCs/>
          <w:color w:val="1F2937"/>
          <w:sz w:val="22"/>
          <w:szCs w:val="22"/>
        </w:rPr>
        <w:t xml:space="preserve">✅ Corrigé :</w:t>
      </w:r>
      <w:r>
        <w:rPr>
          <w:rFonts w:ascii="Times New Roman" w:cs="Times New Roman" w:eastAsia="Times New Roman" w:hAnsi="Times New Roman"/>
          <w:color w:val="1F2937"/>
          <w:sz w:val="22"/>
          <w:szCs w:val="22"/>
        </w:rPr>
        <w:t xml:space="preserve">
a) Sur un rendement brut identique de 3 % : fonds actif net ≈ 1,8 % ; ETF net ≈ 2,85 %. Sur 10 ans, 10 000 € : fonds actif → ~11 960 €, ETF → ~13 280 €. Écart ≈ 1 320 € uniquement dû aux frais (illustration de la leçon n°9).</w:t>
      </w:r>
      <w:r>
        <w:rPr>
          <w:rFonts w:ascii="Times New Roman" w:cs="Times New Roman" w:eastAsia="Times New Roman" w:hAnsi="Times New Roman"/>
          <w:color w:val="1F2937"/>
          <w:sz w:val="22"/>
          <w:szCs w:val="22"/>
        </w:rPr>
        <w:t xml:space="preserve">
b) Si le gérant démontre une surperformance régulière après frais, notamment en période de forte dispersion (crise de crédit, marchés instables). Mais la littérature académique montre que la surperformance persistante est rare.</w:t>
      </w:r>
      <w:r>
        <w:rPr>
          <w:rFonts w:ascii="Times New Roman" w:cs="Times New Roman" w:eastAsia="Times New Roman" w:hAnsi="Times New Roman"/>
          <w:color w:val="1F2937"/>
          <w:sz w:val="22"/>
          <w:szCs w:val="22"/>
        </w:rPr>
        <w:t xml:space="preserve">
c) Oui, les deux peuvent être logés en assurance-vie (UC) et, selon les contrats, en PERECO. La compatibilité PEE dépend des fonds proposés par l'employeur.</w:t>
      </w:r>
    </w:p>
    <w:p>
      <w:pPr>
        <w:spacing w:after="160" w:before="160"/>
      </w:pPr>
      <w:r>
        <w:rPr>
          <w:rFonts w:ascii="Times New Roman" w:cs="Times New Roman" w:eastAsia="Times New Roman" w:hAnsi="Times New Roman"/>
          <w:color w:val="D1D5DB"/>
          <w:sz w:val="22"/>
          <w:szCs w:val="22"/>
        </w:rPr>
        <w:t xml:space="preserve">────────────────────────────────────────────────────</w:t>
      </w:r>
    </w:p>
    <w:p>
      <w:pPr>
        <w:pStyle w:val="Heading2"/>
        <w:spacing w:after="100" w:before="240"/>
      </w:pPr>
      <w:r>
        <w:rPr>
          <w:rFonts w:ascii="Times New Roman" w:cs="Times New Roman" w:eastAsia="Times New Roman" w:hAnsi="Times New Roman"/>
          <w:b/>
          <w:bCs/>
          <w:color w:val="1B3A6B"/>
          <w:sz w:val="30"/>
          <w:szCs w:val="30"/>
        </w:rPr>
        <w:t xml:space="preserve">🎯 Challenge — Synthèse</w:t>
      </w:r>
    </w:p>
    <w:p>
      <w:pPr>
        <w:spacing w:after="120"/>
      </w:pPr>
      <w:r>
        <w:rPr>
          <w:rFonts w:ascii="Times New Roman" w:cs="Times New Roman" w:eastAsia="Times New Roman" w:hAnsi="Times New Roman"/>
          <w:b/>
          <w:bCs/>
          <w:color w:val="1F2937"/>
          <w:sz w:val="22"/>
          <w:szCs w:val="22"/>
        </w:rPr>
        <w:t xml:space="preserve">Scénario : </w:t>
      </w:r>
      <w:r>
        <w:rPr>
          <w:rFonts w:ascii="Times New Roman" w:cs="Times New Roman" w:eastAsia="Times New Roman" w:hAnsi="Times New Roman"/>
          <w:color w:val="1F2937"/>
          <w:sz w:val="22"/>
          <w:szCs w:val="22"/>
        </w:rPr>
        <w:t xml:space="preserve">Tu as 20 000 € disponibles sur ton contrat d'assurance-vie (horizon de placement : 7 ans). Ton conseiller te propose trois allocations pour la partie « défensive » de ton contrat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B3A6B" w:color="1B3A6B" w:val="solid"/>
          </w:tcPr>
          <w:p>
            <w:pPr>
              <w:jc w:val="center"/>
            </w:pPr>
            <w:r>
              <w:rPr>
                <w:rFonts w:ascii="Times New Roman" w:cs="Times New Roman" w:eastAsia="Times New Roman" w:hAnsi="Times New Roman"/>
                <w:b/>
                <w:bCs/>
                <w:color w:val="FFFFFF"/>
                <w:sz w:val="20"/>
                <w:szCs w:val="20"/>
              </w:rPr>
              <w:t xml:space="preserve">Option</w:t>
            </w:r>
          </w:p>
        </w:tc>
        <w:tc>
          <w:tcPr>
            <w:shd w:fill="1B3A6B" w:color="1B3A6B" w:val="solid"/>
          </w:tcPr>
          <w:p>
            <w:pPr>
              <w:jc w:val="center"/>
            </w:pPr>
            <w:r>
              <w:rPr>
                <w:rFonts w:ascii="Times New Roman" w:cs="Times New Roman" w:eastAsia="Times New Roman" w:hAnsi="Times New Roman"/>
                <w:b/>
                <w:bCs/>
                <w:color w:val="FFFFFF"/>
                <w:sz w:val="20"/>
                <w:szCs w:val="20"/>
              </w:rPr>
              <w:t xml:space="preserve">Produit</w:t>
            </w:r>
          </w:p>
        </w:tc>
        <w:tc>
          <w:tcPr>
            <w:shd w:fill="1B3A6B" w:color="1B3A6B" w:val="solid"/>
          </w:tcPr>
          <w:p>
            <w:pPr>
              <w:jc w:val="center"/>
            </w:pPr>
            <w:r>
              <w:rPr>
                <w:rFonts w:ascii="Times New Roman" w:cs="Times New Roman" w:eastAsia="Times New Roman" w:hAnsi="Times New Roman"/>
                <w:b/>
                <w:bCs/>
                <w:color w:val="FFFFFF"/>
                <w:sz w:val="20"/>
                <w:szCs w:val="20"/>
              </w:rPr>
              <w:t xml:space="preserve">Taux servi (indicatif 2025)</w:t>
            </w:r>
          </w:p>
        </w:tc>
        <w:tc>
          <w:tcPr>
            <w:shd w:fill="1B3A6B" w:color="1B3A6B" w:val="solid"/>
          </w:tcPr>
          <w:p>
            <w:pPr>
              <w:jc w:val="center"/>
            </w:pPr>
            <w:r>
              <w:rPr>
                <w:rFonts w:ascii="Times New Roman" w:cs="Times New Roman" w:eastAsia="Times New Roman" w:hAnsi="Times New Roman"/>
                <w:b/>
                <w:bCs/>
                <w:color w:val="FFFFFF"/>
                <w:sz w:val="20"/>
                <w:szCs w:val="20"/>
              </w:rPr>
              <w:t xml:space="preserve">Risque de taux</w:t>
            </w:r>
          </w:p>
        </w:tc>
        <w:tc>
          <w:tcPr>
            <w:shd w:fill="1B3A6B" w:color="1B3A6B" w:val="solid"/>
          </w:tcPr>
          <w:p>
            <w:pPr>
              <w:jc w:val="center"/>
            </w:pPr>
            <w:r>
              <w:rPr>
                <w:rFonts w:ascii="Times New Roman" w:cs="Times New Roman" w:eastAsia="Times New Roman" w:hAnsi="Times New Roman"/>
                <w:b/>
                <w:bCs/>
                <w:color w:val="FFFFFF"/>
                <w:sz w:val="20"/>
                <w:szCs w:val="20"/>
              </w:rPr>
              <w:t xml:space="preserve">Garantie</w:t>
            </w:r>
          </w:p>
        </w:tc>
      </w:tr>
      <w:tr>
        <w:tc>
          <w:tcPr>
            <w:shd w:fill="FFFFFF" w:color="FFFFFF" w:val="solid"/>
          </w:tcPr>
          <w:p>
            <w:r>
              <w:rPr>
                <w:rFonts w:ascii="Times New Roman" w:cs="Times New Roman" w:eastAsia="Times New Roman" w:hAnsi="Times New Roman"/>
                <w:color w:val="1F2937"/>
                <w:sz w:val="20"/>
                <w:szCs w:val="20"/>
              </w:rPr>
              <w:t xml:space="preserve">A</w:t>
            </w:r>
          </w:p>
        </w:tc>
        <w:tc>
          <w:tcPr>
            <w:shd w:fill="FFFFFF" w:color="FFFFFF" w:val="solid"/>
          </w:tcPr>
          <w:p>
            <w:r>
              <w:rPr>
                <w:rFonts w:ascii="Times New Roman" w:cs="Times New Roman" w:eastAsia="Times New Roman" w:hAnsi="Times New Roman"/>
                <w:color w:val="1F2937"/>
                <w:sz w:val="20"/>
                <w:szCs w:val="20"/>
              </w:rPr>
              <w:t xml:space="preserve">Fonds en euros</w:t>
            </w:r>
          </w:p>
        </w:tc>
        <w:tc>
          <w:tcPr>
            <w:shd w:fill="FFFFFF" w:color="FFFFFF" w:val="solid"/>
          </w:tcPr>
          <w:p>
            <w:r>
              <w:rPr>
                <w:rFonts w:ascii="Times New Roman" w:cs="Times New Roman" w:eastAsia="Times New Roman" w:hAnsi="Times New Roman"/>
                <w:color w:val="1F2937"/>
                <w:sz w:val="20"/>
                <w:szCs w:val="20"/>
              </w:rPr>
              <w:t xml:space="preserve">2,80 % net (illustration)</w:t>
            </w:r>
          </w:p>
        </w:tc>
        <w:tc>
          <w:tcPr>
            <w:shd w:fill="FFFFFF" w:color="FFFFFF" w:val="solid"/>
          </w:tcPr>
          <w:p>
            <w:r>
              <w:rPr>
                <w:rFonts w:ascii="Times New Roman" w:cs="Times New Roman" w:eastAsia="Times New Roman" w:hAnsi="Times New Roman"/>
                <w:color w:val="1F2937"/>
                <w:sz w:val="20"/>
                <w:szCs w:val="20"/>
              </w:rPr>
              <w:t xml:space="preserve">Faible (géré par assureur)</w:t>
            </w:r>
          </w:p>
        </w:tc>
        <w:tc>
          <w:tcPr>
            <w:shd w:fill="FFFFFF" w:color="FFFFFF" w:val="solid"/>
          </w:tcPr>
          <w:p>
            <w:r>
              <w:rPr>
                <w:rFonts w:ascii="Times New Roman" w:cs="Times New Roman" w:eastAsia="Times New Roman" w:hAnsi="Times New Roman"/>
                <w:color w:val="1F2937"/>
                <w:sz w:val="20"/>
                <w:szCs w:val="20"/>
              </w:rPr>
              <w:t xml:space="preserve">Capital garanti (net de frais)</w:t>
            </w:r>
          </w:p>
        </w:tc>
      </w:tr>
      <w:tr>
        <w:tc>
          <w:tcPr>
            <w:shd w:fill="EEF2F7" w:color="EEF2F7" w:val="solid"/>
          </w:tcPr>
          <w:p>
            <w:r>
              <w:rPr>
                <w:rFonts w:ascii="Times New Roman" w:cs="Times New Roman" w:eastAsia="Times New Roman" w:hAnsi="Times New Roman"/>
                <w:color w:val="1F2937"/>
                <w:sz w:val="20"/>
                <w:szCs w:val="20"/>
              </w:rPr>
              <w:t xml:space="preserve">B</w:t>
            </w:r>
          </w:p>
        </w:tc>
        <w:tc>
          <w:tcPr>
            <w:shd w:fill="EEF2F7" w:color="EEF2F7" w:val="solid"/>
          </w:tcPr>
          <w:p>
            <w:r>
              <w:rPr>
                <w:rFonts w:ascii="Times New Roman" w:cs="Times New Roman" w:eastAsia="Times New Roman" w:hAnsi="Times New Roman"/>
                <w:color w:val="1F2937"/>
                <w:sz w:val="20"/>
                <w:szCs w:val="20"/>
              </w:rPr>
              <w:t xml:space="preserve">Fonds obligataire daté 7 ans (corporate)</w:t>
            </w:r>
          </w:p>
        </w:tc>
        <w:tc>
          <w:tcPr>
            <w:shd w:fill="EEF2F7" w:color="EEF2F7" w:val="solid"/>
          </w:tcPr>
          <w:p>
            <w:r>
              <w:rPr>
                <w:rFonts w:ascii="Times New Roman" w:cs="Times New Roman" w:eastAsia="Times New Roman" w:hAnsi="Times New Roman"/>
                <w:color w:val="1F2937"/>
                <w:sz w:val="20"/>
                <w:szCs w:val="20"/>
              </w:rPr>
              <w:t xml:space="preserve">4,20 % brut estimé</w:t>
            </w:r>
          </w:p>
        </w:tc>
        <w:tc>
          <w:tcPr>
            <w:shd w:fill="EEF2F7" w:color="EEF2F7" w:val="solid"/>
          </w:tcPr>
          <w:p>
            <w:r>
              <w:rPr>
                <w:rFonts w:ascii="Times New Roman" w:cs="Times New Roman" w:eastAsia="Times New Roman" w:hAnsi="Times New Roman"/>
                <w:color w:val="1F2937"/>
                <w:sz w:val="20"/>
                <w:szCs w:val="20"/>
              </w:rPr>
              <w:t xml:space="preserve">Faible (si conservé à terme)</w:t>
            </w:r>
          </w:p>
        </w:tc>
        <w:tc>
          <w:tcPr>
            <w:shd w:fill="EEF2F7" w:color="EEF2F7" w:val="solid"/>
          </w:tcPr>
          <w:p>
            <w:r>
              <w:rPr>
                <w:rFonts w:ascii="Times New Roman" w:cs="Times New Roman" w:eastAsia="Times New Roman" w:hAnsi="Times New Roman"/>
                <w:color w:val="1F2937"/>
                <w:sz w:val="20"/>
                <w:szCs w:val="20"/>
              </w:rPr>
              <w:t xml:space="preserve">Non garanti</w:t>
            </w:r>
          </w:p>
        </w:tc>
      </w:tr>
      <w:tr>
        <w:tc>
          <w:tcPr>
            <w:shd w:fill="FFFFFF" w:color="FFFFFF" w:val="solid"/>
          </w:tcPr>
          <w:p>
            <w:r>
              <w:rPr>
                <w:rFonts w:ascii="Times New Roman" w:cs="Times New Roman" w:eastAsia="Times New Roman" w:hAnsi="Times New Roman"/>
                <w:color w:val="1F2937"/>
                <w:sz w:val="20"/>
                <w:szCs w:val="20"/>
              </w:rPr>
              <w:t xml:space="preserve">C</w:t>
            </w:r>
          </w:p>
        </w:tc>
        <w:tc>
          <w:tcPr>
            <w:shd w:fill="FFFFFF" w:color="FFFFFF" w:val="solid"/>
          </w:tcPr>
          <w:p>
            <w:r>
              <w:rPr>
                <w:rFonts w:ascii="Times New Roman" w:cs="Times New Roman" w:eastAsia="Times New Roman" w:hAnsi="Times New Roman"/>
                <w:color w:val="1F2937"/>
                <w:sz w:val="20"/>
                <w:szCs w:val="20"/>
              </w:rPr>
              <w:t xml:space="preserve">ETF obligataire zone euro (duration 8 ans)</w:t>
            </w:r>
          </w:p>
        </w:tc>
        <w:tc>
          <w:tcPr>
            <w:shd w:fill="FFFFFF" w:color="FFFFFF" w:val="solid"/>
          </w:tcPr>
          <w:p>
            <w:r>
              <w:rPr>
                <w:rFonts w:ascii="Times New Roman" w:cs="Times New Roman" w:eastAsia="Times New Roman" w:hAnsi="Times New Roman"/>
                <w:color w:val="1F2937"/>
                <w:sz w:val="20"/>
                <w:szCs w:val="20"/>
              </w:rPr>
              <w:t xml:space="preserve">Variable</w:t>
            </w:r>
          </w:p>
        </w:tc>
        <w:tc>
          <w:tcPr>
            <w:shd w:fill="FFFFFF" w:color="FFFFFF" w:val="solid"/>
          </w:tcPr>
          <w:p>
            <w:r>
              <w:rPr>
                <w:rFonts w:ascii="Times New Roman" w:cs="Times New Roman" w:eastAsia="Times New Roman" w:hAnsi="Times New Roman"/>
                <w:color w:val="1F2937"/>
                <w:sz w:val="20"/>
                <w:szCs w:val="20"/>
              </w:rPr>
              <w:t xml:space="preserve">Élevé (sensibilité ~8)</w:t>
            </w:r>
          </w:p>
        </w:tc>
        <w:tc>
          <w:tcPr>
            <w:shd w:fill="FFFFFF" w:color="FFFFFF" w:val="solid"/>
          </w:tcPr>
          <w:p>
            <w:r>
              <w:rPr>
                <w:rFonts w:ascii="Times New Roman" w:cs="Times New Roman" w:eastAsia="Times New Roman" w:hAnsi="Times New Roman"/>
                <w:color w:val="1F2937"/>
                <w:sz w:val="20"/>
                <w:szCs w:val="20"/>
              </w:rPr>
              <w:t xml:space="preserve">Non garanti</w:t>
            </w:r>
          </w:p>
        </w:tc>
      </w:tr>
    </w:tbl>
    <w:p>
      <w:pPr>
        <w:spacing w:after="80"/>
      </w:pPr>
    </w:p>
    <w:p>
      <w:pPr>
        <w:spacing w:after="120"/>
      </w:pPr>
      <w:r>
        <w:rPr>
          <w:rFonts w:ascii="Times New Roman" w:cs="Times New Roman" w:eastAsia="Times New Roman" w:hAnsi="Times New Roman"/>
          <w:b/>
          <w:bCs/>
          <w:color w:val="1F2937"/>
          <w:sz w:val="22"/>
          <w:szCs w:val="22"/>
        </w:rPr>
        <w:t xml:space="preserve">Questions :</w:t>
      </w:r>
    </w:p>
    <w:p>
      <w:pPr>
        <w:pStyle w:val="ListParagraph"/>
        <w:numPr>
          <w:ilvl w:val="0"/>
          <w:numId w:val="1"/>
        </w:numPr>
        <w:spacing w:after="60"/>
        <w:ind w:left="720"/>
      </w:pPr>
      <w:r>
        <w:rPr>
          <w:rFonts w:ascii="Times New Roman" w:cs="Times New Roman" w:eastAsia="Times New Roman" w:hAnsi="Times New Roman"/>
          <w:color w:val="1F2937"/>
          <w:sz w:val="22"/>
          <w:szCs w:val="22"/>
        </w:rPr>
        <w:t xml:space="preserve">1. Pour chacune des trois options, identifie le principal avantage et le principal risque.</w:t>
      </w:r>
    </w:p>
    <w:p>
      <w:pPr>
        <w:pStyle w:val="ListParagraph"/>
        <w:numPr>
          <w:ilvl w:val="0"/>
          <w:numId w:val="1"/>
        </w:numPr>
        <w:spacing w:after="60"/>
        <w:ind w:left="720"/>
      </w:pPr>
      <w:r>
        <w:rPr>
          <w:rFonts w:ascii="Times New Roman" w:cs="Times New Roman" w:eastAsia="Times New Roman" w:hAnsi="Times New Roman"/>
          <w:color w:val="1F2937"/>
          <w:sz w:val="22"/>
          <w:szCs w:val="22"/>
        </w:rPr>
        <w:t xml:space="preserve">2. Le fonds daté à 7 ans coïncide exactement avec ton horizon. Quel avantage spécifique cela présente-t-il ?</w:t>
      </w:r>
    </w:p>
    <w:p>
      <w:pPr>
        <w:pStyle w:val="ListParagraph"/>
        <w:numPr>
          <w:ilvl w:val="0"/>
          <w:numId w:val="1"/>
        </w:numPr>
        <w:spacing w:after="60"/>
        <w:ind w:left="720"/>
      </w:pPr>
      <w:r>
        <w:rPr>
          <w:rFonts w:ascii="Times New Roman" w:cs="Times New Roman" w:eastAsia="Times New Roman" w:hAnsi="Times New Roman"/>
          <w:color w:val="1F2937"/>
          <w:sz w:val="22"/>
          <w:szCs w:val="22"/>
        </w:rPr>
        <w:t xml:space="preserve">3. L'ETF en option C a une sensibilité de 8. Que se passe-t-il sur ta poche de 20 000 € si les taux montent de 1,5 % d'un coup ?</w:t>
      </w:r>
    </w:p>
    <w:p>
      <w:pPr>
        <w:pStyle w:val="ListParagraph"/>
        <w:numPr>
          <w:ilvl w:val="0"/>
          <w:numId w:val="1"/>
        </w:numPr>
        <w:spacing w:after="60"/>
        <w:ind w:left="720"/>
      </w:pPr>
      <w:r>
        <w:rPr>
          <w:rFonts w:ascii="Times New Roman" w:cs="Times New Roman" w:eastAsia="Times New Roman" w:hAnsi="Times New Roman"/>
          <w:color w:val="1F2937"/>
          <w:sz w:val="22"/>
          <w:szCs w:val="22"/>
        </w:rPr>
        <w:t xml:space="preserve">4. Quelle question CONCRÈTE poserais-tu à ton conseiller avant de choisir l'option B ?</w:t>
      </w:r>
    </w:p>
    <w:p>
      <w:pPr>
        <w:spacing w:after="80"/>
      </w:pPr>
    </w:p>
    <w:p>
      <w:pPr>
        <w:shd w:fill="F3F4F6" w:color="F3F4F6" w:val="solid"/>
        <w:spacing w:after="140" w:before="80"/>
        <w:ind w:left="300" w:right="300"/>
      </w:pPr>
      <w:r>
        <w:rPr>
          <w:rFonts w:ascii="Times New Roman" w:cs="Times New Roman" w:eastAsia="Times New Roman" w:hAnsi="Times New Roman"/>
          <w:b/>
          <w:bCs/>
          <w:color w:val="1F2937"/>
          <w:sz w:val="22"/>
          <w:szCs w:val="22"/>
        </w:rPr>
        <w:t xml:space="preserve">✅ Éléments de corrigé :</w:t>
      </w:r>
      <w:r>
        <w:rPr>
          <w:rFonts w:ascii="Times New Roman" w:cs="Times New Roman" w:eastAsia="Times New Roman" w:hAnsi="Times New Roman"/>
          <w:color w:val="1F2937"/>
          <w:sz w:val="22"/>
          <w:szCs w:val="22"/>
        </w:rPr>
        <w:t xml:space="preserve">
1. A : avantage = capital garanti net de frais ; risque = rendement potentiellement inférieur à l'inflation long terme. B : avantage = rendement plus élevé et risque de taux maîtrisé si on attend l'échéance ; risque = défaut d'un ou plusieurs émetteurs du fonds. C : avantage = frais minimaux, diversification large ; risque = forte volatilité du prix en cas de hausse des taux.</w:t>
      </w:r>
      <w:r>
        <w:rPr>
          <w:rFonts w:ascii="Times New Roman" w:cs="Times New Roman" w:eastAsia="Times New Roman" w:hAnsi="Times New Roman"/>
          <w:color w:val="1F2937"/>
          <w:sz w:val="22"/>
          <w:szCs w:val="22"/>
        </w:rPr>
        <w:t xml:space="preserve">
2. Un fonds daté à 7 ans « amortit » le risque de taux si tu le conserves jusqu'à l'échéance du fonds : le fonds liquide progressivement ses positions et te rembourse à terme, comme une obligation individuelle. La variation de prix intermédiaire n'impacte pas le résultat final si tu ne vends pas avant.</w:t>
      </w:r>
      <w:r>
        <w:rPr>
          <w:rFonts w:ascii="Times New Roman" w:cs="Times New Roman" w:eastAsia="Times New Roman" w:hAnsi="Times New Roman"/>
          <w:color w:val="1F2937"/>
          <w:sz w:val="22"/>
          <w:szCs w:val="22"/>
        </w:rPr>
        <w:t xml:space="preserve">
3. Impact estimé : −20 000 € × 8 × 1,5 % = −2 400 €, soit une moins-value latente d'environ 12 % sur la poche ETF. Ce n'est pas une perte définitive si tu attends, mais c'est significatif sur un horizon de 7 ans si les taux restent élevés.</w:t>
      </w:r>
      <w:r>
        <w:rPr>
          <w:rFonts w:ascii="Times New Roman" w:cs="Times New Roman" w:eastAsia="Times New Roman" w:hAnsi="Times New Roman"/>
          <w:color w:val="1F2937"/>
          <w:sz w:val="22"/>
          <w:szCs w:val="22"/>
        </w:rPr>
        <w:t xml:space="preserve">
4. Question essentielle : « Quels sont les émetteurs (notation, secteurs, géographies) qui composent ce fonds, et quel est le taux de défaut historique moyen sur ce type de fonds daté ? » — pour évaluer le risque de crédit réel.</w:t>
      </w:r>
    </w:p>
    <w:p>
      <w:pPr>
        <w:spacing w:after="160" w:before="160"/>
      </w:pPr>
      <w:r>
        <w:rPr>
          <w:rFonts w:ascii="Times New Roman" w:cs="Times New Roman" w:eastAsia="Times New Roman" w:hAnsi="Times New Roman"/>
          <w:color w:val="D1D5DB"/>
          <w:sz w:val="22"/>
          <w:szCs w:val="22"/>
        </w:rPr>
        <w:t xml:space="preserve">────────────────────────────────────────────────────</w:t>
      </w:r>
    </w:p>
    <w:p>
      <w:pPr>
        <w:pStyle w:val="Heading2"/>
        <w:spacing w:after="100" w:before="240"/>
      </w:pPr>
      <w:r>
        <w:rPr>
          <w:rFonts w:ascii="Times New Roman" w:cs="Times New Roman" w:eastAsia="Times New Roman" w:hAnsi="Times New Roman"/>
          <w:b/>
          <w:bCs/>
          <w:color w:val="1B3A6B"/>
          <w:sz w:val="30"/>
          <w:szCs w:val="30"/>
        </w:rPr>
        <w:t xml:space="preserve">🌉 Pont pro (optionnel)</w:t>
      </w:r>
    </w:p>
    <w:p>
      <w:pPr>
        <w:spacing w:after="120"/>
      </w:pPr>
      <w:r>
        <w:rPr>
          <w:rFonts w:ascii="Times New Roman" w:cs="Times New Roman" w:eastAsia="Times New Roman" w:hAnsi="Times New Roman"/>
          <w:color w:val="1F2937"/>
          <w:sz w:val="22"/>
          <w:szCs w:val="22"/>
        </w:rPr>
        <w:t xml:space="preserve">Les fonds en euros de ton contrat de retraite collectif ou de ta prévoyance sont majoritairement composés d'obligations. Comprendre la relation taux/prix te permet de mieux interpréter les communications de ton assureur lorsqu'il annonce une baisse du taux servi dans un contexte de taux bas : l'assureur ne peut plus investir les nouvelles primes aux mêmes rendements passés. Ce n'est pas une décision commerciale arbitraire — c'est une contrainte structurelle de la classe obligataire.</w:t>
      </w:r>
    </w:p>
    <w:p>
      <w:pPr>
        <w:spacing w:after="120"/>
      </w:pPr>
      <w:r>
        <w:rPr>
          <w:rFonts w:ascii="Times New Roman" w:cs="Times New Roman" w:eastAsia="Times New Roman" w:hAnsi="Times New Roman"/>
          <w:i/>
          <w:iCs/>
          <w:color w:val="1F2937"/>
          <w:sz w:val="22"/>
          <w:szCs w:val="22"/>
        </w:rPr>
        <w:t xml:space="preserve">Note : aucune RBPP HAS n'est citée ici — ce pont s'appuie uniquement sur des mécanismes financiers objectifs, sans lien avec les pratiques professionnelles d'accompagnement.</w:t>
      </w:r>
    </w:p>
    <w:p>
      <w:pPr>
        <w:spacing w:after="160" w:before="160"/>
      </w:pPr>
      <w:r>
        <w:rPr>
          <w:rFonts w:ascii="Times New Roman" w:cs="Times New Roman" w:eastAsia="Times New Roman" w:hAnsi="Times New Roman"/>
          <w:color w:val="D1D5DB"/>
          <w:sz w:val="22"/>
          <w:szCs w:val="22"/>
        </w:rPr>
        <w:t xml:space="preserve">────────────────────────────────────────────────────</w:t>
      </w:r>
    </w:p>
    <w:p>
      <w:pPr>
        <w:pStyle w:val="Heading2"/>
        <w:spacing w:after="100" w:before="240"/>
      </w:pPr>
      <w:r>
        <w:rPr>
          <w:rFonts w:ascii="Times New Roman" w:cs="Times New Roman" w:eastAsia="Times New Roman" w:hAnsi="Times New Roman"/>
          <w:b/>
          <w:bCs/>
          <w:color w:val="1B3A6B"/>
          <w:sz w:val="30"/>
          <w:szCs w:val="30"/>
        </w:rPr>
        <w:t xml:space="preserve">📚 Ressources pour approfondir</w:t>
      </w:r>
    </w:p>
    <w:p>
      <w:pPr>
        <w:spacing w:after="120"/>
      </w:pPr>
      <w:r>
        <w:rPr>
          <w:rFonts w:ascii="Times New Roman" w:cs="Times New Roman" w:eastAsia="Times New Roman" w:hAnsi="Times New Roman"/>
          <w:color w:val="1F2937"/>
          <w:sz w:val="22"/>
          <w:szCs w:val="22"/>
        </w:rPr>
        <w:t xml:space="preserve">Toutes les URLs ci-dessous ont été testées le 29/08/2026 (code HTTP 200).</w:t>
      </w:r>
    </w:p>
    <w:p>
      <w:pPr>
        <w:spacing w:after="80"/>
      </w:pPr>
      <w:r>
        <w:rPr>
          <w:rFonts w:ascii="Times New Roman" w:cs="Times New Roman" w:eastAsia="Times New Roman" w:hAnsi="Times New Roman"/>
          <w:color w:val="1F2937"/>
          <w:sz w:val="22"/>
          <w:szCs w:val="22"/>
        </w:rPr>
        <w:t xml:space="preserve">1. </w:t>
      </w:r>
      <w:hyperlink w:history="1" r:id="rIddmmfgjn18tacba1cjmh4d">
        <w:r>
          <w:rPr>
            <w:rFonts w:ascii="Times New Roman" w:cs="Times New Roman" w:eastAsia="Times New Roman" w:hAnsi="Times New Roman"/>
            <w:color w:val="1155CC"/>
            <w:sz w:val="22"/>
            <w:szCs w:val="22"/>
            <w:u w:val="single"/>
          </w:rPr>
          <w:t xml:space="preserve">Obligations — présentation générale</w:t>
        </w:r>
      </w:hyperlink>
      <w:r>
        <w:rPr>
          <w:rFonts w:ascii="Times New Roman" w:cs="Times New Roman" w:eastAsia="Times New Roman" w:hAnsi="Times New Roman"/>
          <w:color w:val="1F2937"/>
          <w:sz w:val="22"/>
          <w:szCs w:val="22"/>
        </w:rPr>
        <w:t xml:space="preserve"> — La Finance pour Tous (IEFP)</w:t>
      </w:r>
    </w:p>
    <w:p>
      <w:pPr>
        <w:spacing w:after="80"/>
      </w:pPr>
      <w:r>
        <w:rPr>
          <w:rFonts w:ascii="Times New Roman" w:cs="Times New Roman" w:eastAsia="Times New Roman" w:hAnsi="Times New Roman"/>
          <w:color w:val="1F2937"/>
          <w:sz w:val="22"/>
          <w:szCs w:val="22"/>
        </w:rPr>
        <w:t xml:space="preserve">2. </w:t>
      </w:r>
      <w:hyperlink w:history="1" r:id="rId1n2w-wqhrve98bl7kovqx">
        <w:r>
          <w:rPr>
            <w:rFonts w:ascii="Times New Roman" w:cs="Times New Roman" w:eastAsia="Times New Roman" w:hAnsi="Times New Roman"/>
            <w:color w:val="1155CC"/>
            <w:sz w:val="22"/>
            <w:szCs w:val="22"/>
            <w:u w:val="single"/>
          </w:rPr>
          <w:t xml:space="preserve">Les caractéristiques d'une obligation</w:t>
        </w:r>
      </w:hyperlink>
      <w:r>
        <w:rPr>
          <w:rFonts w:ascii="Times New Roman" w:cs="Times New Roman" w:eastAsia="Times New Roman" w:hAnsi="Times New Roman"/>
          <w:color w:val="1F2937"/>
          <w:sz w:val="22"/>
          <w:szCs w:val="22"/>
        </w:rPr>
        <w:t xml:space="preserve"> — La Finance pour Tous</w:t>
      </w:r>
    </w:p>
    <w:p>
      <w:pPr>
        <w:spacing w:after="80"/>
      </w:pPr>
      <w:r>
        <w:rPr>
          <w:rFonts w:ascii="Times New Roman" w:cs="Times New Roman" w:eastAsia="Times New Roman" w:hAnsi="Times New Roman"/>
          <w:color w:val="1F2937"/>
          <w:sz w:val="22"/>
          <w:szCs w:val="22"/>
        </w:rPr>
        <w:t xml:space="preserve">3. </w:t>
      </w:r>
      <w:hyperlink w:history="1" r:id="rIdq9r9nekg57_sc3jfx9u80">
        <w:r>
          <w:rPr>
            <w:rFonts w:ascii="Times New Roman" w:cs="Times New Roman" w:eastAsia="Times New Roman" w:hAnsi="Times New Roman"/>
            <w:color w:val="1155CC"/>
            <w:sz w:val="22"/>
            <w:szCs w:val="22"/>
            <w:u w:val="single"/>
          </w:rPr>
          <w:t xml:space="preserve">Les risques obligataires</w:t>
        </w:r>
      </w:hyperlink>
      <w:r>
        <w:rPr>
          <w:rFonts w:ascii="Times New Roman" w:cs="Times New Roman" w:eastAsia="Times New Roman" w:hAnsi="Times New Roman"/>
          <w:color w:val="1F2937"/>
          <w:sz w:val="22"/>
          <w:szCs w:val="22"/>
        </w:rPr>
        <w:t xml:space="preserve"> — La Finance pour Tous</w:t>
      </w:r>
    </w:p>
    <w:p>
      <w:pPr>
        <w:spacing w:after="80"/>
      </w:pPr>
      <w:r>
        <w:rPr>
          <w:rFonts w:ascii="Times New Roman" w:cs="Times New Roman" w:eastAsia="Times New Roman" w:hAnsi="Times New Roman"/>
          <w:color w:val="1F2937"/>
          <w:sz w:val="22"/>
          <w:szCs w:val="22"/>
        </w:rPr>
        <w:t xml:space="preserve">4. </w:t>
      </w:r>
      <w:hyperlink w:history="1" r:id="rIddjksg7nm3_yqx7buqgo_6">
        <w:r>
          <w:rPr>
            <w:rFonts w:ascii="Times New Roman" w:cs="Times New Roman" w:eastAsia="Times New Roman" w:hAnsi="Times New Roman"/>
            <w:color w:val="1155CC"/>
            <w:sz w:val="22"/>
            <w:szCs w:val="22"/>
            <w:u w:val="single"/>
          </w:rPr>
          <w:t xml:space="preserve">Déterminer le rendement d'une obligation</w:t>
        </w:r>
      </w:hyperlink>
      <w:r>
        <w:rPr>
          <w:rFonts w:ascii="Times New Roman" w:cs="Times New Roman" w:eastAsia="Times New Roman" w:hAnsi="Times New Roman"/>
          <w:color w:val="1F2937"/>
          <w:sz w:val="22"/>
          <w:szCs w:val="22"/>
        </w:rPr>
        <w:t xml:space="preserve"> — La Finance pour Tous</w:t>
      </w:r>
    </w:p>
    <w:p>
      <w:pPr>
        <w:spacing w:after="80"/>
      </w:pPr>
      <w:r>
        <w:rPr>
          <w:rFonts w:ascii="Times New Roman" w:cs="Times New Roman" w:eastAsia="Times New Roman" w:hAnsi="Times New Roman"/>
          <w:color w:val="1F2937"/>
          <w:sz w:val="22"/>
          <w:szCs w:val="22"/>
        </w:rPr>
        <w:t xml:space="preserve">5. </w:t>
      </w:r>
      <w:hyperlink w:history="1" r:id="rId4m0xz_gycwo_usvvpeq5a">
        <w:r>
          <w:rPr>
            <w:rFonts w:ascii="Times New Roman" w:cs="Times New Roman" w:eastAsia="Times New Roman" w:hAnsi="Times New Roman"/>
            <w:color w:val="1155CC"/>
            <w:sz w:val="22"/>
            <w:szCs w:val="22"/>
            <w:u w:val="single"/>
          </w:rPr>
          <w:t xml:space="preserve">Acquérir des obligations</w:t>
        </w:r>
      </w:hyperlink>
      <w:r>
        <w:rPr>
          <w:rFonts w:ascii="Times New Roman" w:cs="Times New Roman" w:eastAsia="Times New Roman" w:hAnsi="Times New Roman"/>
          <w:color w:val="1F2937"/>
          <w:sz w:val="22"/>
          <w:szCs w:val="22"/>
        </w:rPr>
        <w:t xml:space="preserve"> — La Finance pour Tous</w:t>
      </w:r>
    </w:p>
    <w:p>
      <w:pPr>
        <w:spacing w:after="80"/>
      </w:pPr>
      <w:r>
        <w:rPr>
          <w:rFonts w:ascii="Times New Roman" w:cs="Times New Roman" w:eastAsia="Times New Roman" w:hAnsi="Times New Roman"/>
          <w:color w:val="1F2937"/>
          <w:sz w:val="22"/>
          <w:szCs w:val="22"/>
        </w:rPr>
        <w:t xml:space="preserve">6. </w:t>
      </w:r>
      <w:hyperlink w:history="1" r:id="rIdexdzxktbgp8wfgvt1-vkg">
        <w:r>
          <w:rPr>
            <w:rFonts w:ascii="Times New Roman" w:cs="Times New Roman" w:eastAsia="Times New Roman" w:hAnsi="Times New Roman"/>
            <w:color w:val="1155CC"/>
            <w:sz w:val="22"/>
            <w:szCs w:val="22"/>
            <w:u w:val="single"/>
          </w:rPr>
          <w:t xml:space="preserve">Obligations : quelle fiscalité ?</w:t>
        </w:r>
      </w:hyperlink>
      <w:r>
        <w:rPr>
          <w:rFonts w:ascii="Times New Roman" w:cs="Times New Roman" w:eastAsia="Times New Roman" w:hAnsi="Times New Roman"/>
          <w:color w:val="1F2937"/>
          <w:sz w:val="22"/>
          <w:szCs w:val="22"/>
        </w:rPr>
        <w:t xml:space="preserve"> — La Finance pour Tous (PFU 31,4 %, taux 2026)</w:t>
      </w:r>
    </w:p>
    <w:p>
      <w:pPr>
        <w:spacing w:after="80"/>
      </w:pPr>
      <w:r>
        <w:rPr>
          <w:rFonts w:ascii="Times New Roman" w:cs="Times New Roman" w:eastAsia="Times New Roman" w:hAnsi="Times New Roman"/>
          <w:color w:val="1F2937"/>
          <w:sz w:val="22"/>
          <w:szCs w:val="22"/>
        </w:rPr>
        <w:t xml:space="preserve">7. </w:t>
      </w:r>
      <w:hyperlink w:history="1" r:id="rIdu5elx9v4c4mitknpwejlf">
        <w:r>
          <w:rPr>
            <w:rFonts w:ascii="Times New Roman" w:cs="Times New Roman" w:eastAsia="Times New Roman" w:hAnsi="Times New Roman"/>
            <w:color w:val="1155CC"/>
            <w:sz w:val="22"/>
            <w:szCs w:val="22"/>
            <w:u w:val="single"/>
          </w:rPr>
          <w:t xml:space="preserve">CSG : un taux à double vitesse pour 2026</w:t>
        </w:r>
      </w:hyperlink>
      <w:r>
        <w:rPr>
          <w:rFonts w:ascii="Times New Roman" w:cs="Times New Roman" w:eastAsia="Times New Roman" w:hAnsi="Times New Roman"/>
          <w:color w:val="1F2937"/>
          <w:sz w:val="22"/>
          <w:szCs w:val="22"/>
        </w:rPr>
        <w:t xml:space="preserve"> — La Finance pour Tous (explique les exceptions assurance-vie, PEL, CEL)</w:t>
      </w:r>
    </w:p>
    <w:p>
      <w:pPr>
        <w:spacing w:after="80"/>
      </w:pPr>
      <w:r>
        <w:rPr>
          <w:rFonts w:ascii="Times New Roman" w:cs="Times New Roman" w:eastAsia="Times New Roman" w:hAnsi="Times New Roman"/>
          <w:color w:val="1F2937"/>
          <w:sz w:val="22"/>
          <w:szCs w:val="22"/>
        </w:rPr>
        <w:t xml:space="preserve">8. </w:t>
      </w:r>
      <w:hyperlink w:history="1" r:id="rId-quyaybhba9brajk17vkp">
        <w:r>
          <w:rPr>
            <w:rFonts w:ascii="Times New Roman" w:cs="Times New Roman" w:eastAsia="Times New Roman" w:hAnsi="Times New Roman"/>
            <w:color w:val="1155CC"/>
            <w:sz w:val="22"/>
            <w:szCs w:val="22"/>
            <w:u w:val="single"/>
          </w:rPr>
          <w:t xml:space="preserve">Comprendre le PFU</w:t>
        </w:r>
      </w:hyperlink>
      <w:r>
        <w:rPr>
          <w:rFonts w:ascii="Times New Roman" w:cs="Times New Roman" w:eastAsia="Times New Roman" w:hAnsi="Times New Roman"/>
          <w:color w:val="1F2937"/>
          <w:sz w:val="22"/>
          <w:szCs w:val="22"/>
        </w:rPr>
        <w:t xml:space="preserve"> — La Finance pour Tous</w:t>
      </w:r>
    </w:p>
    <w:p>
      <w:pPr>
        <w:spacing w:after="120"/>
      </w:pPr>
      <w:r>
        <w:rPr>
          <w:rFonts w:ascii="Times New Roman" w:cs="Times New Roman" w:eastAsia="Times New Roman" w:hAnsi="Times New Roman"/>
          <w:i/>
          <w:iCs/>
          <w:color w:val="1F2937"/>
          <w:sz w:val="22"/>
          <w:szCs w:val="22"/>
        </w:rPr>
        <w:t xml:space="preserve">Sources ⛔ inaccessibles lors de cette exécution (404/403) : amf-france.org/obligations, abe-infoservice.fr/obligations, impots.gouv.fr (pages directes). Les informations fiscales ont été croisées avec les résultats WebSearch de lafinancepourtous.com.</w:t>
      </w:r>
    </w:p>
    <w:p>
      <w:pPr>
        <w:spacing w:after="160" w:before="160"/>
      </w:pPr>
      <w:r>
        <w:rPr>
          <w:rFonts w:ascii="Times New Roman" w:cs="Times New Roman" w:eastAsia="Times New Roman" w:hAnsi="Times New Roman"/>
          <w:color w:val="D1D5DB"/>
          <w:sz w:val="22"/>
          <w:szCs w:val="22"/>
        </w:rPr>
        <w:t xml:space="preserve">────────────────────────────────────────────────────</w:t>
      </w:r>
    </w:p>
    <w:p>
      <w:pPr>
        <w:pStyle w:val="Heading2"/>
        <w:spacing w:after="100" w:before="240"/>
      </w:pPr>
      <w:r>
        <w:rPr>
          <w:rFonts w:ascii="Times New Roman" w:cs="Times New Roman" w:eastAsia="Times New Roman" w:hAnsi="Times New Roman"/>
          <w:b/>
          <w:bCs/>
          <w:color w:val="1B3A6B"/>
          <w:sz w:val="30"/>
          <w:szCs w:val="30"/>
        </w:rPr>
        <w:t xml:space="preserve">👤 Pour aller plus loin avec un conseiller agréé (CGP/CIF)</w:t>
      </w:r>
    </w:p>
    <w:p>
      <w:pPr>
        <w:spacing w:after="120"/>
      </w:pPr>
      <w:r>
        <w:rPr>
          <w:rFonts w:ascii="Times New Roman" w:cs="Times New Roman" w:eastAsia="Times New Roman" w:hAnsi="Times New Roman"/>
          <w:color w:val="1F2937"/>
          <w:sz w:val="22"/>
          <w:szCs w:val="22"/>
        </w:rPr>
        <w:t xml:space="preserve">3 questions concrètes à poser lors de ton prochain rendez-vous :</w:t>
      </w:r>
    </w:p>
    <w:p>
      <w:pPr>
        <w:pStyle w:val="ListParagraph"/>
        <w:numPr>
          <w:ilvl w:val="0"/>
          <w:numId w:val="1"/>
        </w:numPr>
        <w:spacing w:after="60"/>
        <w:ind w:left="720"/>
      </w:pPr>
      <w:r>
        <w:rPr>
          <w:rFonts w:ascii="Times New Roman" w:cs="Times New Roman" w:eastAsia="Times New Roman" w:hAnsi="Times New Roman"/>
          <w:color w:val="1F2937"/>
          <w:sz w:val="22"/>
          <w:szCs w:val="22"/>
        </w:rPr>
        <w:t xml:space="preserve">« Dans mon contrat d'assurance-vie, les unités de compte obligataires proposées ont-elles une durée fixe (fonds datés) ou une duration variable, et quelle est leur sensibilité aux taux actuels ? »</w:t>
      </w:r>
    </w:p>
    <w:p>
      <w:pPr>
        <w:pStyle w:val="ListParagraph"/>
        <w:numPr>
          <w:ilvl w:val="0"/>
          <w:numId w:val="1"/>
        </w:numPr>
        <w:spacing w:after="60"/>
        <w:ind w:left="720"/>
      </w:pPr>
      <w:r>
        <w:rPr>
          <w:rFonts w:ascii="Times New Roman" w:cs="Times New Roman" w:eastAsia="Times New Roman" w:hAnsi="Times New Roman"/>
          <w:color w:val="1F2937"/>
          <w:sz w:val="22"/>
          <w:szCs w:val="22"/>
        </w:rPr>
        <w:t xml:space="preserve">« En tenant compte de mon horizon de 7-8 ans et de ma tranche marginale d'imposition, vaut-il mieux loger des obligations dans mon assurance-vie (PFU à 7,5 % IR après 8 ans + prélèvements sociaux 17,2 %) ou dans un compte-titres ordinaire (PFU 31,4 %) ? »</w:t>
      </w:r>
    </w:p>
    <w:p>
      <w:pPr>
        <w:pStyle w:val="ListParagraph"/>
        <w:numPr>
          <w:ilvl w:val="0"/>
          <w:numId w:val="1"/>
        </w:numPr>
        <w:spacing w:after="60"/>
        <w:ind w:left="720"/>
      </w:pPr>
      <w:r>
        <w:rPr>
          <w:rFonts w:ascii="Times New Roman" w:cs="Times New Roman" w:eastAsia="Times New Roman" w:hAnsi="Times New Roman"/>
          <w:color w:val="1F2937"/>
          <w:sz w:val="22"/>
          <w:szCs w:val="22"/>
        </w:rPr>
        <w:t xml:space="preserve">« Comment évaluez-vous le risque de crédit des fonds obligataires d'entreprise que vous me proposez : quelle est leur répartition entre investment grade et high yield, et quel a été leur taux de défaut historique ? »</w:t>
      </w:r>
    </w:p>
    <w:p>
      <w:pPr>
        <w:spacing w:after="160" w:before="160"/>
      </w:pPr>
      <w:r>
        <w:rPr>
          <w:rFonts w:ascii="Times New Roman" w:cs="Times New Roman" w:eastAsia="Times New Roman" w:hAnsi="Times New Roman"/>
          <w:color w:val="D1D5DB"/>
          <w:sz w:val="22"/>
          <w:szCs w:val="22"/>
        </w:rPr>
        <w:t xml:space="preserve">────────────────────────────────────────────────────</w:t>
      </w:r>
    </w:p>
    <w:p>
      <w:pPr>
        <w:pStyle w:val="Heading2"/>
        <w:spacing w:after="100" w:before="240"/>
      </w:pPr>
      <w:r>
        <w:rPr>
          <w:rFonts w:ascii="Times New Roman" w:cs="Times New Roman" w:eastAsia="Times New Roman" w:hAnsi="Times New Roman"/>
          <w:b/>
          <w:bCs/>
          <w:color w:val="1B3A6B"/>
          <w:sz w:val="30"/>
          <w:szCs w:val="30"/>
        </w:rPr>
        <w:t xml:space="preserve">🔜 Prochaine leçon</w:t>
      </w:r>
    </w:p>
    <w:p>
      <w:pPr>
        <w:spacing w:after="120"/>
      </w:pPr>
      <w:r>
        <w:rPr>
          <w:rFonts w:ascii="Times New Roman" w:cs="Times New Roman" w:eastAsia="Times New Roman" w:hAnsi="Times New Roman"/>
          <w:b/>
          <w:bCs/>
          <w:color w:val="1F2937"/>
          <w:sz w:val="22"/>
          <w:szCs w:val="22"/>
        </w:rPr>
        <w:t xml:space="preserve">Leçon n°13 / 20 : </w:t>
      </w:r>
      <w:r>
        <w:rPr>
          <w:rFonts w:ascii="Times New Roman" w:cs="Times New Roman" w:eastAsia="Times New Roman" w:hAnsi="Times New Roman"/>
          <w:color w:val="1F2937"/>
          <w:sz w:val="22"/>
          <w:szCs w:val="22"/>
        </w:rPr>
        <w:t xml:space="preserve">ETF et gestion indicielle</w:t>
      </w:r>
      <w:r>
        <w:rPr>
          <w:rFonts w:ascii="Times New Roman" w:cs="Times New Roman" w:eastAsia="Times New Roman" w:hAnsi="Times New Roman"/>
          <w:color w:val="1F2937"/>
          <w:sz w:val="22"/>
          <w:szCs w:val="22"/>
        </w:rPr>
        <w:t xml:space="preserve"> — Tu découvriras comment les ETF (fonds négociés en bourse) permettent de répliquer à faible coût la performance d'un indice (actions, obligations, secteurs), leurs avantages par rapport à la gestion active, et comment les sélectionner (tracking error, TER, liquidité, enveloppe fiscale). Ce sera le prolongement direct de ce que tu viens de voir sur les ETF obligataires.</w:t>
      </w:r>
      <w:r>
        <w:rPr>
          <w:rFonts w:ascii="Times New Roman" w:cs="Times New Roman" w:eastAsia="Times New Roman" w:hAnsi="Times New Roman"/>
          <w:i/>
          <w:iCs/>
          <w:color w:val="6B7280"/>
          <w:sz w:val="20"/>
          <w:szCs w:val="20"/>
        </w:rPr>
        <w:t xml:space="preserve"> Thèmes annoncés : ETF, gestion indicielle, réplication d'indice, gestion active, tracking error, TER. [Ajouté le 26/09/2026 : cette ligne nomme, dans les termes de cette section même, ce que la leçon suivante devra traiter ou déclarer non traité. Elle est la condition du contrôle de continuité ajouté ce jour au prompt : sans elle, la leçon suivante ne peut pas être contrôlée sur ce qu'on lui a promis — c'est ce qui est arrivé entre la n°15 et la n°16.]</w:t>
      </w:r>
    </w:p>
    <w:p>
      <w:pPr>
        <w:spacing w:after="160" w:before="160"/>
      </w:pPr>
      <w:r>
        <w:rPr>
          <w:rFonts w:ascii="Times New Roman" w:cs="Times New Roman" w:eastAsia="Times New Roman" w:hAnsi="Times New Roman"/>
          <w:color w:val="D1D5DB"/>
          <w:sz w:val="22"/>
          <w:szCs w:val="22"/>
        </w:rPr>
        <w:t xml:space="preserve">────────────────────────────────────────────────────</w:t>
      </w:r>
    </w:p>
    <w:p>
      <w:pPr>
        <w:spacing w:after="120"/>
      </w:pPr>
      <w:r>
        <w:rPr>
          <w:rFonts w:ascii="Times New Roman" w:cs="Times New Roman" w:eastAsia="Times New Roman" w:hAnsi="Times New Roman"/>
          <w:i/>
          <w:iCs/>
          <w:color w:val="9CA3AF"/>
          <w:sz w:val="22"/>
          <w:szCs w:val="22"/>
        </w:rPr>
        <w:t xml:space="preserve">─ Fin de la leçon 12 / 20 — Parcours Placement financier ─</w:t>
      </w:r>
    </w:p>
    <w:p>
      <w:pPr>
        <w:spacing w:after="120" w:before="300"/>
      </w:pPr>
      <w:r>
        <w:rPr>
          <w:rFonts w:ascii="Times New Roman" w:cs="Times New Roman" w:eastAsia="Times New Roman" w:hAnsi="Times New Roman"/>
          <w:b/>
          <w:bCs/>
          <w:color w:val="1B3A6B"/>
          <w:sz w:val="28"/>
          <w:szCs w:val="28"/>
        </w:rPr>
        <w:t xml:space="preserve">📝 Journal des corrections</w:t>
      </w:r>
    </w:p>
    <w:p>
      <w:pPr>
        <w:spacing w:after="120"/>
      </w:pPr>
      <w:r>
        <w:rPr>
          <w:rFonts w:ascii="Times New Roman" w:cs="Times New Roman" w:eastAsia="Times New Roman" w:hAnsi="Times New Roman"/>
          <w:color w:val="1F2937"/>
          <w:sz w:val="22"/>
          <w:szCs w:val="22"/>
        </w:rPr>
        <w:t xml:space="preserve">Leçon produite et relue le 29/08/2026. Les corrections sont fondues dans le texte ci-dessus ; les formulations d'origine sont conservées ici.</w:t>
      </w:r>
    </w:p>
    <w:p>
      <w:pPr>
        <w:spacing w:after="120"/>
      </w:pPr>
      <w:r>
        <w:rPr>
          <w:rFonts w:ascii="Times New Roman" w:cs="Times New Roman" w:eastAsia="Times New Roman" w:hAnsi="Times New Roman"/>
          <w:color w:val="1F2937"/>
          <w:sz w:val="22"/>
          <w:szCs w:val="22"/>
        </w:rPr>
        <w:t xml:space="preserve">1. Rendement actuariel — une erreur de signe, donc de principe.</w:t>
      </w:r>
    </w:p>
    <w:p>
      <w:pPr>
        <w:spacing w:after="120"/>
      </w:pPr>
      <w:r>
        <w:rPr>
          <w:rFonts w:ascii="Times New Roman" w:cs="Times New Roman" w:eastAsia="Times New Roman" w:hAnsi="Times New Roman"/>
          <w:color w:val="1F2937"/>
          <w:sz w:val="22"/>
          <w:szCs w:val="22"/>
        </w:rPr>
        <w:t xml:space="preserve">Version initiale : « obligation à 102,5 % du nominal, coupon 4,5 %, 8 ans restants → TRA ≈ 4,62 % + 0,31 % = 4,93 % », suivie de « (Le second terme est le gain/perte annualisé lié à l'écart entre prix d'achat et remboursement au pair.) ». Deux fautes se cumulaient. Le rendement courant est 4,5 / 102,5 = 4,39 % et non 4,62 %. Et surtout, le second terme devait être SOUSTRAIT : acheter à 102,5 pour être remboursé 100 est une perte de 2,5 sur 8 ans, soit environ −0,31 % par an. Le calcul actuariel exact, refait le 29/08/2026 par résolution numérique de l'équation d'actualisation des huit coupons et du remboursement, donne 4,13 % — contre 4,93 % annoncés, soit 0,8 point d'écart. L'erreur inversait le principe même que l'exemple devait illustrer : une obligation achetée au-dessus du pair rapporte MOINS que son rendement courant. Un repère de vérification a été ajouté à la place de la parenthèse d'origine.</w:t>
      </w:r>
    </w:p>
    <w:p>
      <w:pPr>
        <w:spacing w:after="120"/>
      </w:pPr>
      <w:r>
        <w:rPr>
          <w:rFonts w:ascii="Times New Roman" w:cs="Times New Roman" w:eastAsia="Times New Roman" w:hAnsi="Times New Roman"/>
          <w:color w:val="1F2937"/>
          <w:sz w:val="22"/>
          <w:szCs w:val="22"/>
        </w:rPr>
        <w:t xml:space="preserve">2. Notation de l'État français — donnée périmée.</w:t>
      </w:r>
    </w:p>
    <w:p>
      <w:pPr>
        <w:spacing w:after="120"/>
      </w:pPr>
      <w:r>
        <w:rPr>
          <w:rFonts w:ascii="Times New Roman" w:cs="Times New Roman" w:eastAsia="Times New Roman" w:hAnsi="Times New Roman"/>
          <w:color w:val="1F2937"/>
          <w:sz w:val="22"/>
          <w:szCs w:val="22"/>
        </w:rPr>
        <w:t xml:space="preserve">Version initiale : le tableau des émetteurs notait l'OAT française « AA (2026) » chez Standard &amp; Poor's. L'agence a abaissé la France de AA- à A+ le 17 octobre 2025, soit deux crans sous la valeur affichée. Moody's la note Aa3 et Fitch AA- : aucune agence ne soutenait « AA ». Vérifié le 29/08/2026. La ligne porte désormais la note, sa date, celles des deux autres agences, et un rappel — une notation souveraine bouge, il faut la revérifier avant réutilisation.</w:t>
      </w:r>
    </w:p>
    <w:p>
      <w:pPr>
        <w:spacing w:after="120"/>
      </w:pPr>
      <w:r>
        <w:rPr>
          <w:rFonts w:ascii="Times New Roman" w:cs="Times New Roman" w:eastAsia="Times New Roman" w:hAnsi="Times New Roman"/>
          <w:color w:val="1F2937"/>
          <w:sz w:val="22"/>
          <w:szCs w:val="22"/>
        </w:rPr>
        <w:t xml:space="preserve">5. Notation de l'État français — la correction du 29/08 était elle-même fausse sur un point (24/09/2026).</w:t>
      </w:r>
    </w:p>
    <w:p>
      <w:pPr>
        <w:spacing w:after="120"/>
      </w:pPr>
      <w:r>
        <w:rPr>
          <w:rFonts w:ascii="Times New Roman" w:cs="Times New Roman" w:eastAsia="Times New Roman" w:hAnsi="Times New Roman"/>
          <w:color w:val="1F2937"/>
          <w:sz w:val="22"/>
          <w:szCs w:val="22"/>
        </w:rPr>
        <w:t xml:space="preserve">Version du 29/08/2026 : « Moody's la note Aa3 et Fitch AA- : aucune agence ne soutenait “AA”. » La conclusion était juste, la répartition non : Fitch n'est pas à AA- mais à A+ — la notice française date cette dégradation de septembre 2025, le tableau des notations souveraines de Wikipédia en anglais porte « A+, Stable, 6 March 2026 ». Les trois notes au 24/09/2026 : S&amp;P A+ (stable, 17/10/2025), Fitch A+ (stable, 06/03/2026), Moody's Aa3 (stable, 14/12/2024). Deux agences sur trois à A+, pas une. Ce qui l'a permis : la correction du 29/08 a vérifié la note de S&amp;P sur sa page et a repris les deux autres sans les rouvrir — exactement ce que la règle A3 bis, écrite le 24/09/2026 dans le prompt de ce parcours, interdit désormais.</w:t>
      </w:r>
    </w:p>
    <w:p>
      <w:pPr>
        <w:spacing w:after="120"/>
      </w:pPr>
      <w:r>
        <w:rPr>
          <w:rFonts w:ascii="Times New Roman" w:cs="Times New Roman" w:eastAsia="Times New Roman" w:hAnsi="Times New Roman"/>
          <w:color w:val="1F2937"/>
          <w:sz w:val="22"/>
          <w:szCs w:val="22"/>
        </w:rPr>
        <w:t xml:space="preserve">Vérifié lors de la relecture et inchangé : la relation inverse taux/prix et son illustration chiffrée (5 % à 100 € → ~50 € si les taux passent à 10 %, ~166 € s'ils tombent à 3 %) ; le rendement courant de l'exemple 4,8 / 96 = 5,00 % ; le coupon et le rendement de l'exercice 1 (32 € et 3,39 %) ; l'impact de sensibilité du challenge (20 000 € × 8 × 1,5 % = 2 400 €, soit 12 %) ; l'écart de frais de l'exercice 3, proche de 1 300 € sur dix ans ; et tout le tableau fiscal, qui concorde avec les leçons 10 et 11 — PFU à 31,4 %, exception à 29,2 %, acompte non libératoire de 12,8 % et seuils de dispense.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mmfgjn18tacba1cjmh4d" Type="http://schemas.openxmlformats.org/officeDocument/2006/relationships/hyperlink" Target="https://www.lafinancepourtous.com/decryptages/marches-financiers/produits-financiers/obligations/" TargetMode="External"/><Relationship Id="rId1n2w-wqhrve98bl7kovqx" Type="http://schemas.openxmlformats.org/officeDocument/2006/relationships/hyperlink" Target="https://www.lafinancepourtous.com/decryptages/marches-financiers/produits-financiers/obligations/les-caracteristiques-d-une-obligation/" TargetMode="External"/><Relationship Id="rIdq9r9nekg57_sc3jfx9u80" Type="http://schemas.openxmlformats.org/officeDocument/2006/relationships/hyperlink" Target="https://www.lafinancepourtous.com/decryptages/marches-financiers/produits-financiers/obligations/les-risques-obligataires/" TargetMode="External"/><Relationship Id="rIddjksg7nm3_yqx7buqgo_6" Type="http://schemas.openxmlformats.org/officeDocument/2006/relationships/hyperlink" Target="https://www.lafinancepourtous.com/decryptages/marches-financiers/produits-financiers/obligations/determiner-le-rendement-d-une-obligation/" TargetMode="External"/><Relationship Id="rId4m0xz_gycwo_usvvpeq5a" Type="http://schemas.openxmlformats.org/officeDocument/2006/relationships/hyperlink" Target="https://www.lafinancepourtous.com/pratique/placements/obligations/acquerir-des-obligations/" TargetMode="External"/><Relationship Id="rIdexdzxktbgp8wfgvt1-vkg" Type="http://schemas.openxmlformats.org/officeDocument/2006/relationships/hyperlink" Target="https://www.lafinancepourtous.com/pratique/impots/fiscalite-de-l-epargne-2/obligations-quelle-fiscalite/" TargetMode="External"/><Relationship Id="rIdu5elx9v4c4mitknpwejlf" Type="http://schemas.openxmlformats.org/officeDocument/2006/relationships/hyperlink" Target="https://www.lafinancepourtous.com/2025/12/17/csg-un-taux-a-double-vitesse-pour-2026/" TargetMode="External"/><Relationship Id="rId-quyaybhba9brajk17vkp" Type="http://schemas.openxmlformats.org/officeDocument/2006/relationships/hyperlink" Target="https://www.lafinancepourtous.com/pratique/impots/fiscalite-de-l-epargne-2/prelevement-forfaitaire-unique-pfu/comprendre-le-pfu/"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Placement financier n°12 — Obligations et fonds obligataires</dc:title>
  <dc:creator>Parcours Placement financier</dc:creator>
  <dc:description>Leçon 12/20 du parcours d'éducation financière personnelle</dc:description>
  <cp:lastModifiedBy>Un-named</cp:lastModifiedBy>
  <cp:revision>1</cp:revision>
  <dcterms:created xsi:type="dcterms:W3CDTF">2026-08-29T06:09:18.918Z</dcterms:created>
  <dcterms:modified xsi:type="dcterms:W3CDTF">2026-08-29T06:09:19.168Z</dcterms:modified>
</cp:coreProperties>
</file>

<file path=docProps/custom.xml><?xml version="1.0" encoding="utf-8"?>
<Properties xmlns="http://schemas.openxmlformats.org/officeDocument/2006/custom-properties" xmlns:vt="http://schemas.openxmlformats.org/officeDocument/2006/docPropsVTypes"/>
</file>