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Placement financier n°13</w:t>
      </w:r>
    </w:p>
    <w:p>
      <w:pPr>
        <w:pStyle w:val="Heading1"/>
        <w:spacing w:after="240" w:before="200"/>
        <w:jc w:val="center"/>
      </w:pPr>
      <w:r>
        <w:rPr>
          <w:rFonts w:ascii="Times New Roman" w:cs="Times New Roman" w:eastAsia="Times New Roman" w:hAnsi="Times New Roman"/>
          <w:b/>
          <w:bCs/>
          <w:color w:val="1B3A6B"/>
          <w:sz w:val="52"/>
          <w:szCs w:val="52"/>
        </w:rPr>
        <w:t xml:space="preserve">ETF et gestion indicielle</w:t>
      </w:r>
    </w:p>
    <w:p>
      <w:pPr>
        <w:spacing w:after="80" w:before="80"/>
        <w:jc w:val="center"/>
      </w:pPr>
      <w:r>
        <w:rPr>
          <w:rFonts w:ascii="Times New Roman" w:cs="Times New Roman" w:eastAsia="Times New Roman" w:hAnsi="Times New Roman"/>
          <w:i/>
          <w:iCs/>
          <w:color w:val="1B3A6B"/>
          <w:sz w:val="22"/>
          <w:szCs w:val="22"/>
        </w:rPr>
        <w:t xml:space="preserve">5 septembre 2026  ·  Leçon 13 / 20</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expliquer ce qu'est un ETF (Exchange Traded Fund), comment il réplique un indice boursier, pourquoi ses frais réduits constituent un avantage structurel sur le long terme, et dans quelle enveloppe il est pertinent de le loger.</w:t>
      </w:r>
    </w:p>
    <w:p>
      <w:pPr>
        <w:spacing w:after="80" w:before="80"/>
      </w:pPr>
      <w:r>
        <w:rPr>
          <w:rFonts w:ascii="Times New Roman" w:cs="Times New Roman" w:eastAsia="Times New Roman" w:hAnsi="Times New Roman"/>
          <w:color w:val="1F2937"/>
          <w:sz w:val="22"/>
          <w:szCs w:val="22"/>
        </w:rPr>
        <w:t xml:space="preserve">Lien avec la leçon n°12 (Obligations et fonds obligataires) : tu as découvert que les obligations peuvent être détenues directement ou via des fonds. Les ETF permettent de répliquer des indices obligataires tout autant que des indices actions — cette leçon généralise le principe.</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Rappel</w:t>
      </w:r>
    </w:p>
    <w:p>
      <w:pPr>
        <w:shd w:fill="EEF2F7" w:val="clear"/>
        <w:spacing w:after="120" w:before="120"/>
        <w:ind w:left="431" w:right="431"/>
      </w:pPr>
      <w:r>
        <w:rPr>
          <w:rFonts w:ascii="Times New Roman" w:cs="Times New Roman" w:eastAsia="Times New Roman" w:hAnsi="Times New Roman"/>
          <w:color w:val="1F2937"/>
          <w:sz w:val="22"/>
          <w:szCs w:val="22"/>
        </w:rPr>
        <w:t xml:space="preserve">Cette leçon relève de l'éducation financière générale et ne constitue en aucun cas un conseil en investissement personnalisé. Tout placement comporte un risque de perte en capital. Pour toute décision d'investissement, consulte un conseiller en gestion de patrimoine (CGP) ou un CIF agréé.</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Théorie (20%)</w:t>
      </w:r>
    </w:p>
    <w:p>
      <w:pPr>
        <w:pStyle w:val="Heading3"/>
        <w:spacing w:after="120" w:before="240"/>
      </w:pPr>
      <w:r>
        <w:rPr>
          <w:rFonts w:ascii="Times New Roman" w:cs="Times New Roman" w:eastAsia="Times New Roman" w:hAnsi="Times New Roman"/>
          <w:b/>
          <w:bCs/>
          <w:color w:val="1F2937"/>
          <w:sz w:val="26"/>
          <w:szCs w:val="26"/>
        </w:rPr>
        <w:t xml:space="preserve">1. Qu'est-ce qu'un ETF / tracker ?</w:t>
      </w:r>
    </w:p>
    <w:p>
      <w:pPr>
        <w:spacing w:after="80" w:before="80"/>
      </w:pPr>
      <w:r>
        <w:rPr>
          <w:rFonts w:ascii="Times New Roman" w:cs="Times New Roman" w:eastAsia="Times New Roman" w:hAnsi="Times New Roman"/>
          <w:color w:val="1F2937"/>
          <w:sz w:val="22"/>
          <w:szCs w:val="22"/>
        </w:rPr>
        <w:t xml:space="preserve">L'AMF (Autorité des marchés financiers) le définit ainsi : « Un ETF (Exchange Traded Fund), également appelé tracker, est un fonds indiciel qui cherche à suivre le plus fidèlement possible l'évolution d'un indice boursier ». La réplication joue dans les deux sens — l'ETF suit l'indice à la hausse comme à la baisse (formulation de la leçon, non citation). Les ETF sont cotés en bourse en continu, comme des actions ordinaires.</w:t>
      </w:r>
    </w:p>
    <w:p>
      <w:pPr>
        <w:spacing w:after="80" w:before="80"/>
        <w:ind w:left="576"/>
      </w:pPr>
      <w:r>
        <w:rPr>
          <w:rFonts w:ascii="Times New Roman" w:cs="Times New Roman" w:eastAsia="Times New Roman" w:hAnsi="Times New Roman"/>
          <w:i/>
          <w:iCs/>
          <w:color w:val="1B3A6B"/>
          <w:sz w:val="22"/>
          <w:szCs w:val="22"/>
        </w:rPr>
        <w:t xml:space="preserve">« Les trackers sont des fonds qui sont cotés en bourse comme des valeurs mobilières et qui permettent, au travers d'un seul titre, d'investir sur l'ensemble des actions composant un indice boursier. »</w:t>
      </w:r>
    </w:p>
    <w:p>
      <w:pPr>
        <w:spacing w:after="80" w:before="80"/>
      </w:pPr>
      <w:r>
        <w:rPr>
          <w:rFonts w:ascii="Times New Roman" w:cs="Times New Roman" w:eastAsia="Times New Roman" w:hAnsi="Times New Roman"/>
          <w:i/>
          <w:iCs/>
          <w:color w:val="1F2937"/>
          <w:sz w:val="22"/>
          <w:szCs w:val="22"/>
        </w:rPr>
        <w:t xml:space="preserve">— La finance pour tous (source consultée le 05/09/2026)</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2. L'indice boursier : substrat de l'ETF</w:t>
      </w:r>
    </w:p>
    <w:p>
      <w:pPr>
        <w:spacing w:after="80" w:before="80"/>
      </w:pPr>
      <w:r>
        <w:rPr>
          <w:rFonts w:ascii="Times New Roman" w:cs="Times New Roman" w:eastAsia="Times New Roman" w:hAnsi="Times New Roman"/>
          <w:color w:val="1F2937"/>
          <w:sz w:val="22"/>
          <w:szCs w:val="22"/>
        </w:rPr>
        <w:t xml:space="preserve">Un ETF réplique un indice de référence. Quelques indices courants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CAC 40 : les 40 plus grandes capitalisations françaises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Euro Stoxx 50 : les 50 plus grandes entreprises de la zone euro</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S&amp;P 500 : les 500 plus grandes entreprises américaines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MSCI World : environ 1 500 entreprises de 23 pays développés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MSCI Emerging Markets : grandes entreprises des marchés émergents</w:t>
      </w:r>
    </w:p>
    <w:p>
      <w:pPr>
        <w:spacing w:after="80" w:before="80"/>
      </w:pPr>
      <w:r>
        <w:rPr>
          <w:rFonts w:ascii="Times New Roman" w:cs="Times New Roman" w:eastAsia="Times New Roman" w:hAnsi="Times New Roman"/>
          <w:color w:val="1F2937"/>
          <w:sz w:val="22"/>
          <w:szCs w:val="22"/>
        </w:rPr>
        <w:t xml:space="preserve">La valeur du tracker fluctue proportionnellement à l'indice. Exemple issu de La finance pour tous : si un indice atteint 5 500 points, un tracker le répliquant à 1/100 sera valorisé à 55 €.</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3. ETF physique vs ETF synthétique</w:t>
      </w:r>
    </w:p>
    <w:p>
      <w:pPr>
        <w:spacing w:after="80" w:before="80"/>
      </w:pPr>
      <w:r>
        <w:rPr>
          <w:rFonts w:ascii="Times New Roman" w:cs="Times New Roman" w:eastAsia="Times New Roman" w:hAnsi="Times New Roman"/>
          <w:color w:val="1F2937"/>
          <w:sz w:val="22"/>
          <w:szCs w:val="22"/>
        </w:rPr>
        <w:t xml:space="preserve">Il existe deux grandes méthodes de réplication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Type</w:t>
            </w:r>
          </w:p>
        </w:tc>
        <w:tc>
          <w:tcPr>
            <w:shd w:fill="1B3A6B" w:val="clear"/>
          </w:tcPr>
          <w:p>
            <w:pPr>
              <w:jc w:val="center"/>
            </w:pPr>
            <w:r>
              <w:rPr>
                <w:rFonts w:ascii="Times New Roman" w:cs="Times New Roman" w:eastAsia="Times New Roman" w:hAnsi="Times New Roman"/>
                <w:b/>
                <w:bCs/>
                <w:color w:val="FFFFFF"/>
                <w:sz w:val="20"/>
                <w:szCs w:val="20"/>
              </w:rPr>
              <w:t xml:space="preserve">Principe</w:t>
            </w:r>
          </w:p>
        </w:tc>
        <w:tc>
          <w:tcPr>
            <w:shd w:fill="1B3A6B" w:val="clear"/>
          </w:tcPr>
          <w:p>
            <w:pPr>
              <w:jc w:val="center"/>
            </w:pPr>
            <w:r>
              <w:rPr>
                <w:rFonts w:ascii="Times New Roman" w:cs="Times New Roman" w:eastAsia="Times New Roman" w:hAnsi="Times New Roman"/>
                <w:b/>
                <w:bCs/>
                <w:color w:val="FFFFFF"/>
                <w:sz w:val="20"/>
                <w:szCs w:val="20"/>
              </w:rPr>
              <w:t xml:space="preserve">Risque spécifique</w:t>
            </w:r>
          </w:p>
        </w:tc>
      </w:tr>
      <w:tr>
        <w:tc>
          <w:tcPr>
            <w:shd w:fill="FFFFFF" w:val="clear"/>
          </w:tcPr>
          <w:p>
            <w:r>
              <w:rPr>
                <w:rFonts w:ascii="Times New Roman" w:cs="Times New Roman" w:eastAsia="Times New Roman" w:hAnsi="Times New Roman"/>
                <w:color w:val="1F2937"/>
                <w:sz w:val="20"/>
                <w:szCs w:val="20"/>
              </w:rPr>
              <w:t xml:space="preserve">ETF physique</w:t>
            </w:r>
          </w:p>
        </w:tc>
        <w:tc>
          <w:tcPr>
            <w:shd w:fill="FFFFFF" w:val="clear"/>
          </w:tcPr>
          <w:p>
            <w:r>
              <w:rPr>
                <w:rFonts w:ascii="Times New Roman" w:cs="Times New Roman" w:eastAsia="Times New Roman" w:hAnsi="Times New Roman"/>
                <w:color w:val="1F2937"/>
                <w:sz w:val="20"/>
                <w:szCs w:val="20"/>
              </w:rPr>
              <w:t xml:space="preserve">Détient réellement les titres de l'indice (ou un échantillon représentatif)</w:t>
            </w:r>
          </w:p>
        </w:tc>
        <w:tc>
          <w:tcPr>
            <w:shd w:fill="FFFFFF" w:val="clear"/>
          </w:tcPr>
          <w:p>
            <w:r>
              <w:rPr>
                <w:rFonts w:ascii="Times New Roman" w:cs="Times New Roman" w:eastAsia="Times New Roman" w:hAnsi="Times New Roman"/>
                <w:color w:val="1F2937"/>
                <w:sz w:val="20"/>
                <w:szCs w:val="20"/>
              </w:rPr>
              <w:t xml:space="preserve">Tracking error liée à l'échantillonnage</w:t>
            </w:r>
          </w:p>
        </w:tc>
      </w:tr>
      <w:tr>
        <w:tc>
          <w:tcPr>
            <w:shd w:fill="EEF2F7" w:val="clear"/>
          </w:tcPr>
          <w:p>
            <w:r>
              <w:rPr>
                <w:rFonts w:ascii="Times New Roman" w:cs="Times New Roman" w:eastAsia="Times New Roman" w:hAnsi="Times New Roman"/>
                <w:color w:val="1F2937"/>
                <w:sz w:val="20"/>
                <w:szCs w:val="20"/>
              </w:rPr>
              <w:t xml:space="preserve">ETF synthétique (à swap)</w:t>
            </w:r>
          </w:p>
        </w:tc>
        <w:tc>
          <w:tcPr>
            <w:shd w:fill="EEF2F7" w:val="clear"/>
          </w:tcPr>
          <w:p>
            <w:r>
              <w:rPr>
                <w:rFonts w:ascii="Times New Roman" w:cs="Times New Roman" w:eastAsia="Times New Roman" w:hAnsi="Times New Roman"/>
                <w:color w:val="1F2937"/>
                <w:sz w:val="20"/>
                <w:szCs w:val="20"/>
              </w:rPr>
              <w:t xml:space="preserve">Utilise un contrat d'échange avec une banque pour répliquer la performance sans détenir les titres</w:t>
            </w:r>
          </w:p>
        </w:tc>
        <w:tc>
          <w:tcPr>
            <w:shd w:fill="EEF2F7" w:val="clear"/>
          </w:tcPr>
          <w:p>
            <w:r>
              <w:rPr>
                <w:rFonts w:ascii="Times New Roman" w:cs="Times New Roman" w:eastAsia="Times New Roman" w:hAnsi="Times New Roman"/>
                <w:color w:val="1F2937"/>
                <w:sz w:val="20"/>
                <w:szCs w:val="20"/>
              </w:rPr>
              <w:t xml:space="preserve">Risque de contrepartie bancaire</w:t>
            </w:r>
          </w:p>
        </w:tc>
      </w:tr>
    </w:tbl>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4. Les frais : l'avantage structurel majeur</w:t>
      </w:r>
    </w:p>
    <w:p>
      <w:pPr>
        <w:spacing w:after="80" w:before="80"/>
      </w:pPr>
      <w:r>
        <w:rPr>
          <w:rFonts w:ascii="Times New Roman" w:cs="Times New Roman" w:eastAsia="Times New Roman" w:hAnsi="Times New Roman"/>
          <w:color w:val="1F2937"/>
          <w:sz w:val="22"/>
          <w:szCs w:val="22"/>
        </w:rPr>
        <w:t xml:space="preserve">Selon l'AMF, les frais courants d'un ETF — appelés TER (Total Expense Ratio) — sont typiquement inférieurs à 0,5 % par an, contre 1 à 1,5 % pour les fonds à gestion active.</w:t>
      </w:r>
    </w:p>
    <w:p>
      <w:pPr>
        <w:shd w:fill="EEF2F7" w:val="clear"/>
        <w:spacing w:after="120" w:before="120"/>
        <w:ind w:left="431" w:right="431"/>
      </w:pPr>
      <w:r>
        <w:rPr>
          <w:rFonts w:ascii="Times New Roman" w:cs="Times New Roman" w:eastAsia="Times New Roman" w:hAnsi="Times New Roman"/>
          <w:color w:val="1F2937"/>
          <w:sz w:val="22"/>
          <w:szCs w:val="22"/>
        </w:rPr>
        <w:t xml:space="preserve">Sur de longues périodes, l'écart de frais se traduit mécaniquement par une différence significative de capital accumulé. Ce n'est pas une opinion : c'est de l'arithmétique (voir exercice 2).</w:t>
      </w:r>
    </w:p>
    <w:p>
      <w:pPr>
        <w:spacing w:after="80" w:before="80"/>
      </w:pPr>
      <w:r>
        <w:rPr>
          <w:rFonts w:ascii="Times New Roman" w:cs="Times New Roman" w:eastAsia="Times New Roman" w:hAnsi="Times New Roman"/>
          <w:color w:val="1F2937"/>
          <w:sz w:val="22"/>
          <w:szCs w:val="22"/>
        </w:rPr>
        <w:t xml:space="preserve">En plus du TER, des frais de courtage s'appliquent à l'achat et à la vente, ainsi que des droits de garde selon l'intermédiaire. Ces frais varient d'un établissement à l'autre — les comparer avant d'investir.</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5. Les enveloppes éligibles</w:t>
      </w:r>
    </w:p>
    <w:p>
      <w:pPr>
        <w:spacing w:after="80" w:before="80"/>
      </w:pPr>
      <w:r>
        <w:rPr>
          <w:rFonts w:ascii="Times New Roman" w:cs="Times New Roman" w:eastAsia="Times New Roman" w:hAnsi="Times New Roman"/>
          <w:color w:val="1F2937"/>
          <w:sz w:val="22"/>
          <w:szCs w:val="22"/>
        </w:rPr>
        <w:t xml:space="preserve">Selon l'AMF, les ETF sont accessibles via plusieurs enveloppes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Compte-titres ordinaire (CTO) : toujours éligible, aucune contrainte géographique sur l'indice suivi</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Plan d'épargne en actions (PEA) : le critère n'est PAS la zone couverte par l'indice, mais la composition du PORTEFEUILLE de l'ETF. L'AMF l'énonce ainsi : sont acceptés au PEA les ETF « qui doivent être investis à 75 % en actions de sociétés de l'Union européenne ». ⚠️ Conséquence décisive, souvent mal comprise : un ETF à réplication SYNTHÉTIQUE (voir section 3) peut suivre un indice mondial tout en détenant un portefeuille d'actions européennes — il est donc éligible PEA. C'est le montage des ETF MSCI World logeables en PEA (par exemple Amundi PEA Monde, iShares WPEA, Amundi CW8, avec des frais courants de l'ordre de 0,20 % à 0,38 % par an au 05/09/2026 ; vérifier la fiche du produit avant tout choix)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Assurance-vie (unités de compte) : disponibilité variable selon le contrat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Épargne salariale (PEE, PERECO, traités en leçon n°11) : certains fonds indiciels y sont proposés</w:t>
      </w:r>
    </w:p>
    <w:p>
      <w:pPr>
        <w:spacing w:after="80" w:before="80"/>
      </w:pPr>
      <w:r>
        <w:rPr>
          <w:rFonts w:ascii="Times New Roman" w:cs="Times New Roman" w:eastAsia="Times New Roman" w:hAnsi="Times New Roman"/>
          <w:color w:val="1F2937"/>
          <w:sz w:val="22"/>
          <w:szCs w:val="22"/>
        </w:rPr>
        <w:t xml:space="preserve">La fiscalité de chaque enveloppe a été traitée en détail dans la leçon n°10 — s'y reporter pour les taux et régimes applicables.</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6. Gestion indicielle vs gestion active : le débat</w:t>
      </w:r>
    </w:p>
    <w:p>
      <w:pPr>
        <w:spacing w:after="80" w:before="80"/>
      </w:pPr>
      <w:r>
        <w:rPr>
          <w:rFonts w:ascii="Times New Roman" w:cs="Times New Roman" w:eastAsia="Times New Roman" w:hAnsi="Times New Roman"/>
          <w:color w:val="1F2937"/>
          <w:sz w:val="22"/>
          <w:szCs w:val="22"/>
        </w:rPr>
        <w:t xml:space="preserve">La gestion indicielle consiste à répliquer fidèlement un indice sans chercher à le battre. La gestion active parie sur la sélection de titres par des gérants professionnels.</w:t>
      </w:r>
    </w:p>
    <w:p>
      <w:pPr>
        <w:spacing w:after="80" w:before="80"/>
      </w:pPr>
      <w:r>
        <w:rPr>
          <w:rFonts w:ascii="Times New Roman" w:cs="Times New Roman" w:eastAsia="Times New Roman" w:hAnsi="Times New Roman"/>
          <w:color w:val="1F2937"/>
          <w:sz w:val="22"/>
          <w:szCs w:val="22"/>
        </w:rPr>
        <w:t xml:space="preserve">La littérature financière internationale a documenté, sur longue période, que la majorité des fonds à gestion active ne surperforment pas leur indice de référence une fois les frais déduits. Ce constat est régulièrement actualisé (études SPIVA de S&amp;P Global, par exemple). Nuance : il existe des fonds actifs performants sur certaines périodes ou classes d'actifs de niche.</w:t>
      </w:r>
    </w:p>
    <w:p>
      <w:pPr>
        <w:shd w:fill="EEF2F7" w:val="clear"/>
        <w:spacing w:after="120" w:before="120"/>
        <w:ind w:left="431" w:right="431"/>
      </w:pPr>
      <w:r>
        <w:rPr>
          <w:rFonts w:ascii="Times New Roman" w:cs="Times New Roman" w:eastAsia="Times New Roman" w:hAnsi="Times New Roman"/>
          <w:color w:val="1F2937"/>
          <w:sz w:val="22"/>
          <w:szCs w:val="22"/>
        </w:rPr>
        <w:t xml:space="preserve">Deux limites de la gestion indicielle à connaître : (1) elle garantit de faire aussi bien — mais pas mieux — que l'indice ; (2) en cas de correction de marché, l'ETF baisse autant que l'indice. Aucun « gérant » ne peut amortir la chute.</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Pratique (80%)</w:t>
      </w:r>
    </w:p>
    <w:p>
      <w:pPr>
        <w:pStyle w:val="Heading3"/>
        <w:spacing w:after="120" w:before="240"/>
      </w:pPr>
      <w:r>
        <w:rPr>
          <w:rFonts w:ascii="Times New Roman" w:cs="Times New Roman" w:eastAsia="Times New Roman" w:hAnsi="Times New Roman"/>
          <w:b/>
          <w:bCs/>
          <w:color w:val="1F2937"/>
          <w:sz w:val="26"/>
          <w:szCs w:val="26"/>
        </w:rPr>
        <w:t xml:space="preserve">Exercice 1 — Lire la fiche d'un ETF</w:t>
      </w:r>
    </w:p>
    <w:p>
      <w:pPr>
        <w:spacing w:after="80" w:before="80"/>
      </w:pPr>
      <w:r>
        <w:rPr>
          <w:rFonts w:ascii="Times New Roman" w:cs="Times New Roman" w:eastAsia="Times New Roman" w:hAnsi="Times New Roman"/>
          <w:color w:val="1F2937"/>
          <w:sz w:val="22"/>
          <w:szCs w:val="22"/>
        </w:rPr>
        <w:t xml:space="preserve">Voici la fiche simplifiée d'un ETF fictif — les caractéristiques sont inventées pour l'exercice, et le nom l'est aussi : il ne renvoie à aucun produit commercialisé. Réponds aux questions.</w:t>
      </w:r>
    </w:p>
    <w:p>
      <w:pPr>
        <w:shd w:fill="EEF2F7" w:val="clear"/>
        <w:spacing w:after="120" w:before="120"/>
        <w:ind w:left="431" w:right="431"/>
      </w:pPr>
      <w:r>
        <w:rPr>
          <w:rFonts w:ascii="Times New Roman" w:cs="Times New Roman" w:eastAsia="Times New Roman" w:hAnsi="Times New Roman"/>
          <w:color w:val="1F2937"/>
          <w:sz w:val="22"/>
          <w:szCs w:val="22"/>
        </w:rPr>
        <w:t xml:space="preserve">Nom : « Tracker CAC 40 (DR) UCITS ETF - Dist » (nom fictif ; DR = Direct Replication)
Indice suivi : CAC 40
Type de réplication : Physique (DR = Direct Replication)
TER : 0,25 % / an
Dividendes : Distribués
Éligibilité PEA : Oui</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Combien d'entreprises compose l'indice suivi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Cet ETF est-il éligible au PEA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Que signifie « dividendes distribués » par opposition à « capitalisés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 Quel est le TER et dans quelle fourchette se situe-t-il par rapport aux fonds actifs classiques ?</w:t>
      </w:r>
    </w:p>
    <w:p>
      <w:pPr>
        <w:pStyle w:val="Heading3"/>
        <w:spacing w:after="120" w:before="240"/>
      </w:pPr>
      <w:r>
        <w:rPr>
          <w:rFonts w:ascii="Times New Roman" w:cs="Times New Roman" w:eastAsia="Times New Roman" w:hAnsi="Times New Roman"/>
          <w:b/>
          <w:bCs/>
          <w:color w:val="1F2937"/>
          <w:sz w:val="26"/>
          <w:szCs w:val="26"/>
        </w:rPr>
        <w:t xml:space="preserve">Corrigé de l'exercice 1</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Le CAC 40 comprend 40 entreprises (les 40 plus grandes capitalisations boursières françaises).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Oui, cet ETF est éligible PEA car il suit un indice français / 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Dividendes distribués : les dividendes versés par les entreprises sont reversés à l'investisseur. Dividendes capitalisés : les dividendes sont réinvestis automatiquement dans le fonds (l'ETF grossit, pas de versement direct).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 TER à 0,25 % : dans la fourchette &lt; 0,5 % typique des ETF selon l'AMF, nettement inférieur aux 1–1,5 % des fonds actifs.</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Exercice 2 — Calculer l'impact des frais sur 10 ans</w:t>
      </w:r>
    </w:p>
    <w:p>
      <w:pPr>
        <w:spacing w:after="80" w:before="80"/>
      </w:pPr>
      <w:r>
        <w:rPr>
          <w:rFonts w:ascii="Times New Roman" w:cs="Times New Roman" w:eastAsia="Times New Roman" w:hAnsi="Times New Roman"/>
          <w:color w:val="1F2937"/>
          <w:sz w:val="22"/>
          <w:szCs w:val="22"/>
        </w:rPr>
        <w:t xml:space="preserve">Données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initial : 10 000 €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Rendement brut hypothétique (avant frais) : 7 % par an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A — ETF : TER 0,20 % → rendement net 6,80 %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B — Fonds actif : frais 1,50 % → rendement net 5,50 %</w:t>
      </w:r>
    </w:p>
    <w:p>
      <w:pPr>
        <w:spacing w:after="80" w:before="80"/>
      </w:pPr>
      <w:r>
        <w:rPr>
          <w:rFonts w:ascii="Times New Roman" w:cs="Times New Roman" w:eastAsia="Times New Roman" w:hAnsi="Times New Roman"/>
          <w:color w:val="1F2937"/>
          <w:sz w:val="22"/>
          <w:szCs w:val="22"/>
        </w:rPr>
        <w:t xml:space="preserve">Calcule la valeur approximative à 10 ans dans chaque scénario (formule : Capital × (1 + taux)^10).</w:t>
      </w:r>
    </w:p>
    <w:p>
      <w:pPr>
        <w:shd w:fill="EEF2F7" w:val="clear"/>
        <w:spacing w:after="120" w:before="120"/>
        <w:ind w:left="431" w:right="431"/>
      </w:pPr>
      <w:r>
        <w:rPr>
          <w:rFonts w:ascii="Times New Roman" w:cs="Times New Roman" w:eastAsia="Times New Roman" w:hAnsi="Times New Roman"/>
          <w:color w:val="1F2937"/>
          <w:sz w:val="22"/>
          <w:szCs w:val="22"/>
        </w:rPr>
        <w:t xml:space="preserve">⚠️ Cet exercice est pédagogique. Il utilise un rendement hypothétique et constant pour illustrer l'impact des frais. Les rendements réels ne sont jamais garantis. Risque de perte en capital.</w:t>
      </w:r>
    </w:p>
    <w:p>
      <w:pPr>
        <w:pStyle w:val="Heading3"/>
        <w:spacing w:after="120" w:before="240"/>
      </w:pPr>
      <w:r>
        <w:rPr>
          <w:rFonts w:ascii="Times New Roman" w:cs="Times New Roman" w:eastAsia="Times New Roman" w:hAnsi="Times New Roman"/>
          <w:b/>
          <w:bCs/>
          <w:color w:val="1F2937"/>
          <w:sz w:val="26"/>
          <w:szCs w:val="26"/>
        </w:rPr>
        <w:t xml:space="preserve">Corrigé de l'exercice 2</w:t>
      </w:r>
    </w:p>
    <w:p>
      <w:pPr>
        <w:spacing w:after="80" w:before="80"/>
      </w:pPr>
      <w:r>
        <w:rPr>
          <w:rFonts w:ascii="Times New Roman" w:cs="Times New Roman" w:eastAsia="Times New Roman" w:hAnsi="Times New Roman"/>
          <w:color w:val="1F2937"/>
          <w:sz w:val="22"/>
          <w:szCs w:val="22"/>
        </w:rPr>
        <w:t xml:space="preserve">Scénario A — ETF (rendement net 6,80 %) :</w:t>
      </w:r>
    </w:p>
    <w:p>
      <w:pPr>
        <w:spacing w:after="80" w:before="80"/>
        <w:ind w:left="576"/>
      </w:pPr>
      <w:r>
        <w:rPr>
          <w:rFonts w:ascii="Times New Roman" w:cs="Times New Roman" w:eastAsia="Times New Roman" w:hAnsi="Times New Roman"/>
          <w:i/>
          <w:iCs/>
          <w:color w:val="1B3A6B"/>
          <w:sz w:val="22"/>
          <w:szCs w:val="22"/>
        </w:rPr>
        <w:t xml:space="preserve">10 000 × (1,068)^10 ≈ 10 000 × 1,9308 ≈ 19 308 €</w:t>
      </w:r>
    </w:p>
    <w:p>
      <w:pPr>
        <w:spacing w:after="80" w:before="80"/>
      </w:pPr>
      <w:r>
        <w:rPr>
          <w:rFonts w:ascii="Times New Roman" w:cs="Times New Roman" w:eastAsia="Times New Roman" w:hAnsi="Times New Roman"/>
          <w:color w:val="1F2937"/>
          <w:sz w:val="22"/>
          <w:szCs w:val="22"/>
        </w:rPr>
        <w:t xml:space="preserve">Scénario B — Fonds actif (rendement net 5,50 %) :</w:t>
      </w:r>
    </w:p>
    <w:p>
      <w:pPr>
        <w:spacing w:after="80" w:before="80"/>
        <w:ind w:left="576"/>
      </w:pPr>
      <w:r>
        <w:rPr>
          <w:rFonts w:ascii="Times New Roman" w:cs="Times New Roman" w:eastAsia="Times New Roman" w:hAnsi="Times New Roman"/>
          <w:i/>
          <w:iCs/>
          <w:color w:val="1B3A6B"/>
          <w:sz w:val="22"/>
          <w:szCs w:val="22"/>
        </w:rPr>
        <w:t xml:space="preserve">10 000 × (1,055)^10 ≈ 10 000 × 1,7081 ≈ 17 081 €</w:t>
      </w:r>
    </w:p>
    <w:p>
      <w:pPr>
        <w:spacing w:after="80" w:before="80"/>
      </w:pPr>
      <w:r>
        <w:rPr>
          <w:rFonts w:ascii="Times New Roman" w:cs="Times New Roman" w:eastAsia="Times New Roman" w:hAnsi="Times New Roman"/>
          <w:color w:val="1F2937"/>
          <w:sz w:val="22"/>
          <w:szCs w:val="22"/>
        </w:rPr>
        <w:t xml:space="preserve">Différence : 19 308 − 17 081 = 2 227 € au profit du scénario ETF, soit +13 % de capital en plus à l'issue de 10 ans.</w:t>
      </w:r>
    </w:p>
    <w:p>
      <w:pPr>
        <w:shd w:fill="EEF2F7" w:val="clear"/>
        <w:spacing w:after="120" w:before="120"/>
        <w:ind w:left="431" w:right="431"/>
      </w:pPr>
      <w:r>
        <w:rPr>
          <w:rFonts w:ascii="Times New Roman" w:cs="Times New Roman" w:eastAsia="Times New Roman" w:hAnsi="Times New Roman"/>
          <w:color w:val="1F2937"/>
          <w:sz w:val="22"/>
          <w:szCs w:val="22"/>
        </w:rPr>
        <w:t xml:space="preserve">Conclusion : sur 10 ans avec un capital de 10 000 €, un écart de frais de 1,30 point représente ici plus de 2 200 € de différence — sans qu'aucune surperformance du fonds actif ne soit venue compenser. Sur des capitaux plus importants et des horizons plus longs, l'effet est considérable.</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Exercice 3 — Choisir la bonne enveloppe</w:t>
      </w:r>
    </w:p>
    <w:p>
      <w:pPr>
        <w:spacing w:after="80" w:before="80"/>
      </w:pPr>
      <w:r>
        <w:rPr>
          <w:rFonts w:ascii="Times New Roman" w:cs="Times New Roman" w:eastAsia="Times New Roman" w:hAnsi="Times New Roman"/>
          <w:color w:val="1F2937"/>
          <w:sz w:val="22"/>
          <w:szCs w:val="22"/>
        </w:rPr>
        <w:t xml:space="preserve">Scénario : tu souhaites investir 5 000 € dans un ETF MSCI World (qui suit les marchés développés mondiaux, hors marchés émergents) et conserver le placement environ 7 ans.</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Cet ETF est-il éligible au PEA ? Pourquoi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Quels sont les avantages et inconvénients du CTO pour ce placement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L'assurance-vie serait-elle adaptée à un horizon de 7 ans ?</w:t>
      </w:r>
    </w:p>
    <w:p>
      <w:pPr>
        <w:spacing w:after="80" w:before="80"/>
      </w:pPr>
      <w:r>
        <w:rPr>
          <w:rFonts w:ascii="Times New Roman" w:cs="Times New Roman" w:eastAsia="Times New Roman" w:hAnsi="Times New Roman"/>
          <w:color w:val="1F2937"/>
          <w:sz w:val="22"/>
          <w:szCs w:val="22"/>
        </w:rPr>
        <w:t xml:space="preserve">Note : cet exercice ne constitue pas une recommandation personnalisée — il vise à raisonner sur les critères.</w:t>
      </w:r>
    </w:p>
    <w:p>
      <w:pPr>
        <w:pStyle w:val="Heading3"/>
        <w:spacing w:after="120" w:before="240"/>
      </w:pPr>
      <w:r>
        <w:rPr>
          <w:rFonts w:ascii="Times New Roman" w:cs="Times New Roman" w:eastAsia="Times New Roman" w:hAnsi="Times New Roman"/>
          <w:b/>
          <w:bCs/>
          <w:color w:val="1F2937"/>
          <w:sz w:val="26"/>
          <w:szCs w:val="26"/>
        </w:rPr>
        <w:t xml:space="preserve">Corrigé de l'exercice 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PEA — Oui, c'est possible, et c'est le point que la plupart des présentations ratent. Un ETF MSCI World à réplication PHYSIQUE détient des titres américains et japonais : son portefeuille ne respecte pas le seuil de 75 % d'actions de l'Union européenne, il n'est donc pas éligible. Mais un ETF MSCI World à réplication SYNTHÉTIQUE détient un portefeuille d'actions européennes et échange sa performance contre celle de l'indice mondial via un swap : le seuil est respecté, l'ETF est éligible PEA. Plusieurs produits de ce type existent (Amundi PEA Monde, iShares WPEA, Amundi CW8). Contrepartie à connaître, exposée en section 3 : la réplication synthétique ajoute un risque de contrepartie bancaire, absent de la réplication physique.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CTO — Toujours éligible, quelle que soit la méthode de réplication, et sans plafond de versement. Inconvénient : fiscalité de droit commun sur les plus-values (PFU ou barème progressif, voir leçon n°10), là où un PEA de plus de cinq ans exonère les gains d'impôt sur le revenu — les prélèvements sociaux restant dus. Avantage : flexibilité totale, aucune contrainte de composition. À mettre en balance avec l'option PEA rétablie au point 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Assurance-vie — L'avantage fiscal de l'AV est maximal après 8 ans (abattement sur les retraits). À 7 ans, on est légèrement en deçà du seuil. Selon le contrat, le MSCI World peut être disponible en UC. Intéressant si on prévoit de dépasser 8 ans en réalité.</w:t>
      </w:r>
    </w:p>
    <w:p>
      <w:pPr>
        <w:shd w:fill="EEF2F7" w:val="clear"/>
        <w:spacing w:after="120" w:before="120"/>
        <w:ind w:left="431" w:right="431"/>
      </w:pPr>
      <w:r>
        <w:rPr>
          <w:rFonts w:ascii="Times New Roman" w:cs="Times New Roman" w:eastAsia="Times New Roman" w:hAnsi="Times New Roman"/>
          <w:color w:val="1F2937"/>
          <w:sz w:val="22"/>
          <w:szCs w:val="22"/>
        </w:rPr>
        <w:t xml:space="preserve">Synthèse neutre : pour un ETF MSCI World sur 7 ans, le CTO est l'option la plus simple si la fiscalité PFU est acceptable ; l'AV est pertinente si l'horizon réel s'étire au-delà de 8 ans. Pour arbitrer finement, consulter un CGP.</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Challenge — Construire un mini-portefeuille ETF (en théorie)</w:t>
      </w:r>
    </w:p>
    <w:p>
      <w:pPr>
        <w:spacing w:after="80" w:before="80"/>
      </w:pPr>
      <w:r>
        <w:rPr>
          <w:rFonts w:ascii="Times New Roman" w:cs="Times New Roman" w:eastAsia="Times New Roman" w:hAnsi="Times New Roman"/>
          <w:color w:val="1F2937"/>
          <w:sz w:val="22"/>
          <w:szCs w:val="22"/>
        </w:rPr>
        <w:t xml:space="preserve">Exercice de synthèse. Suppose que tu disposes d'un capital à investir en ETF sur un horizon de 7 à 8 ans. Propose un mini-portefeuille composé de 3 lignes d'ETF, en justifiant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zone géographique ou la classe d'actifs ciblée par chaque ligne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raison de cette diversification (ne pas concentrer le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L'enveloppe que tu envisagerais pour loger chaque ligne, et pourquoi</w:t>
      </w:r>
    </w:p>
    <w:p>
      <w:pPr>
        <w:shd w:fill="EEF2F7" w:val="clear"/>
        <w:spacing w:after="120" w:before="120"/>
        <w:ind w:left="431" w:right="431"/>
      </w:pPr>
      <w:r>
        <w:rPr>
          <w:rFonts w:ascii="Times New Roman" w:cs="Times New Roman" w:eastAsia="Times New Roman" w:hAnsi="Times New Roman"/>
          <w:color w:val="1F2937"/>
          <w:sz w:val="22"/>
          <w:szCs w:val="22"/>
        </w:rPr>
        <w:t xml:space="preserve">⚠️ Il s'agit d'un exercice pédagogique de raisonnement, pas d'une allocation recommandée. Les ETF réels varient en frais, liquidité et disponibilité selon les contrats. Toute allocation personnalisée relève d'un CGP/CIF agréé.</w:t>
      </w:r>
    </w:p>
    <w:p>
      <w:pPr>
        <w:pStyle w:val="Heading3"/>
        <w:spacing w:after="120" w:before="240"/>
      </w:pPr>
      <w:r>
        <w:rPr>
          <w:rFonts w:ascii="Times New Roman" w:cs="Times New Roman" w:eastAsia="Times New Roman" w:hAnsi="Times New Roman"/>
          <w:b/>
          <w:bCs/>
          <w:color w:val="1F2937"/>
          <w:sz w:val="26"/>
          <w:szCs w:val="26"/>
        </w:rPr>
        <w:t xml:space="preserve">Exemple de réponse commentée</w:t>
      </w:r>
    </w:p>
    <w:p>
      <w:pPr>
        <w:spacing w:after="80" w:before="80"/>
      </w:pPr>
      <w:r>
        <w:rPr>
          <w:rFonts w:ascii="Times New Roman" w:cs="Times New Roman" w:eastAsia="Times New Roman" w:hAnsi="Times New Roman"/>
          <w:color w:val="1F2937"/>
          <w:sz w:val="22"/>
          <w:szCs w:val="22"/>
        </w:rPr>
        <w:t xml:space="preserve">Ligne 1 — ETF sur un grand indice mondial (ex. MSCI World ou équivalent) : exposition aux marchés développés, diversification géographique large. Enveloppe : CTO (si hors PEA) ou AV en UC.</w:t>
      </w:r>
    </w:p>
    <w:p>
      <w:pPr>
        <w:spacing w:after="80" w:before="80"/>
      </w:pPr>
      <w:r>
        <w:rPr>
          <w:rFonts w:ascii="Times New Roman" w:cs="Times New Roman" w:eastAsia="Times New Roman" w:hAnsi="Times New Roman"/>
          <w:color w:val="1F2937"/>
          <w:sz w:val="22"/>
          <w:szCs w:val="22"/>
        </w:rPr>
        <w:t xml:space="preserve">Ligne 2 — ETF obligataire (ex. indice d'obligations d'État zone euro) : introduit une poche moins volatile, potentiel de sécurisation partielle. Enveloppe : CTO ou AV.</w:t>
      </w:r>
    </w:p>
    <w:p>
      <w:pPr>
        <w:spacing w:after="80" w:before="80"/>
      </w:pPr>
      <w:r>
        <w:rPr>
          <w:rFonts w:ascii="Times New Roman" w:cs="Times New Roman" w:eastAsia="Times New Roman" w:hAnsi="Times New Roman"/>
          <w:color w:val="1F2937"/>
          <w:sz w:val="22"/>
          <w:szCs w:val="22"/>
        </w:rPr>
        <w:t xml:space="preserve">Ligne 3 — ETF sur un indice européen (ex. Euro Stoxx 50 ou MSCI Europe) : eligible PEA, avantage fiscal à 7 ans si le PEA a plus de 5 ans. Enveloppe : PEA.</w:t>
      </w:r>
    </w:p>
    <w:p>
      <w:pPr>
        <w:spacing w:after="80" w:before="80"/>
      </w:pPr>
      <w:r>
        <w:rPr>
          <w:rFonts w:ascii="Times New Roman" w:cs="Times New Roman" w:eastAsia="Times New Roman" w:hAnsi="Times New Roman"/>
          <w:color w:val="1F2937"/>
          <w:sz w:val="22"/>
          <w:szCs w:val="22"/>
        </w:rPr>
        <w:t xml:space="preserve">Justification de la diversification : les trois lignes ne réagissent pas de la même manière aux cycles économiques (actions mondiales / obligations / actions européennes). La poche obligataire amortit partiellement les baisses d'actions.</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color w:val="1F2937"/>
          <w:sz w:val="22"/>
          <w:szCs w:val="22"/>
        </w:rPr>
        <w:t xml:space="preserve">Dans certains établissements médico-sociaux, les dispositifs d'épargne salariale (PEE, PERECO traités en leçon n°11) proposent des fonds indiciels ou des profils de gestion pilotée qui intègrent des ETF. En tant que chef de service, comprendre le fonctionnement de ces instruments sert d'abord à ne pas être démuni quand le sujet arrive en réunion ou en entretien. ⛔ Cela ne t'autorise PAS à orienter l'épargne de tes équipes. Le lien hiérarchique change la nature du conseil : une orientation donnée par le chef de service se reçoit comme une consigne, et si le placement se retourne, la relation de travail en porte la trace. La bonne réponse à une question de collègue est de renvoyer vers le teneur de compte du dispositif, la notice d'information du PEE ou du PERECO, ou un conseiller agréé — jamais vers ton propre avis.</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Ressources cliquables (URLs testées le 05/09/2026)</w:t>
      </w:r>
    </w:p>
    <w:p>
      <w:pPr>
        <w:pStyle w:val="ListParagraph"/>
        <w:numPr>
          <w:ilvl w:val="0"/>
          <w:numId w:val="1"/>
        </w:numPr>
        <w:spacing w:after="60" w:before="60"/>
      </w:pPr>
      <w:hyperlink w:history="1" r:id="rIdm3xg4fgwqzk9epmqzhcqy">
        <w:r>
          <w:rPr>
            <w:rFonts w:ascii="Times New Roman" w:cs="Times New Roman" w:eastAsia="Times New Roman" w:hAnsi="Times New Roman"/>
            <w:color w:val="1155CC"/>
            <w:sz w:val="22"/>
            <w:szCs w:val="22"/>
            <w:u w:val="single"/>
          </w:rPr>
          <w:t xml:space="preserve">AMF — Trackers (ETF) : définition, fonctionnement, risques (200 ✅)</w:t>
        </w:r>
      </w:hyperlink>
    </w:p>
    <w:p>
      <w:pPr>
        <w:pStyle w:val="ListParagraph"/>
        <w:numPr>
          <w:ilvl w:val="0"/>
          <w:numId w:val="1"/>
        </w:numPr>
        <w:spacing w:after="60" w:before="60"/>
      </w:pPr>
      <w:hyperlink w:history="1" r:id="rIdybpiewwxlkkhvghdbrzyz">
        <w:r>
          <w:rPr>
            <w:rFonts w:ascii="Times New Roman" w:cs="Times New Roman" w:eastAsia="Times New Roman" w:hAnsi="Times New Roman"/>
            <w:color w:val="1155CC"/>
            <w:sz w:val="22"/>
            <w:szCs w:val="22"/>
            <w:u w:val="single"/>
          </w:rPr>
          <w:t xml:space="preserve">La finance pour tous — Que sont les trackers ? (200 ✅)</w:t>
        </w:r>
      </w:hyperlink>
    </w:p>
    <w:p>
      <w:pPr>
        <w:pStyle w:val="ListParagraph"/>
        <w:numPr>
          <w:ilvl w:val="0"/>
          <w:numId w:val="1"/>
        </w:numPr>
        <w:spacing w:after="60" w:before="60"/>
      </w:pPr>
      <w:hyperlink w:history="1" r:id="rIdzfncqbf7prkwrhq92j3da">
        <w:r>
          <w:rPr>
            <w:rFonts w:ascii="Times New Roman" w:cs="Times New Roman" w:eastAsia="Times New Roman" w:hAnsi="Times New Roman"/>
            <w:color w:val="1155CC"/>
            <w:sz w:val="22"/>
            <w:szCs w:val="22"/>
            <w:u w:val="single"/>
          </w:rPr>
          <w:t xml:space="preserve">La finance pour tous — Trackers : page principale (200 ✅)</w:t>
        </w:r>
      </w:hyperlink>
    </w:p>
    <w:p>
      <w:pPr>
        <w:spacing w:after="80" w:before="80"/>
      </w:pPr>
      <w:r>
        <w:rPr>
          <w:rFonts w:ascii="Times New Roman" w:cs="Times New Roman" w:eastAsia="Times New Roman" w:hAnsi="Times New Roman"/>
          <w:color w:val="1F2937"/>
          <w:sz w:val="22"/>
          <w:szCs w:val="22"/>
        </w:rPr>
        <w:t xml:space="preserve">⛔ Sources non citées car inaccessibles lors de cette exécution : economie.gouv.fr/ETF (403), AMF guide PDF ETF (404).</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Pour aller plus loin avec un professionnel</w:t>
      </w:r>
    </w:p>
    <w:p>
      <w:pPr>
        <w:spacing w:after="80" w:before="80"/>
      </w:pPr>
      <w:r>
        <w:rPr>
          <w:rFonts w:ascii="Times New Roman" w:cs="Times New Roman" w:eastAsia="Times New Roman" w:hAnsi="Times New Roman"/>
          <w:color w:val="1F2937"/>
          <w:sz w:val="22"/>
          <w:szCs w:val="22"/>
        </w:rPr>
        <w:t xml:space="preserve">Questions concrètes à préparer avant un rendez-vous avec un CGP ou CIF agréé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L'ETF MSCI World que j'envisage est-il éligible à mon PEA, ou dois-je passer par un CTO ou une assurance-vie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Vaut-il mieux choisir un ETF à dividendes distribués ou à dividendes capitalisés dans ma situation fiscale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Compte tenu de mon horizon de 7 à 8 ans et de mon objectif de mobilisation des bénéfices, quelle proportion actions/obligations en ETF serait cohérente avec une sécurisation progressive ?</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14 / 20 — Gestion libre, gestion pilotée, mandat d'arbitrage : quelles différences ? Laquelle convient à quel profil d'épargnant ? Comment évaluer la qualité d'un mandat de gestion ?</w:t>
      </w:r>
      <w:r>
        <w:rPr>
          <w:rFonts w:ascii="Times New Roman" w:cs="Times New Roman" w:eastAsia="Times New Roman" w:hAnsi="Times New Roman"/>
          <w:i/>
          <w:iCs/>
          <w:color w:val="6B7280"/>
          <w:sz w:val="20"/>
          <w:szCs w:val="20"/>
        </w:rPr>
        <w:t xml:space="preserve"> Thèmes annoncés : gestion libre, gestion pilotée, mandat d'arbitrage, profil d'épargnant, qualité d'un mandat.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80" w:before="80"/>
      </w:pPr>
      <w:r>
        <w:t xml:space="preserve"/>
      </w: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5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Selon l'AMF, un ETF est “un fonds cherchant à suivre le plus fidèlement possible l'évolution d'un indice boursier, à la hausse comme à la baisse” » — </w:t>
      </w:r>
      <w:r>
        <w:rPr>
          <w:rFonts w:ascii="Times New Roman" w:cs="Times New Roman" w:eastAsia="Times New Roman" w:hAnsi="Times New Roman"/>
          <w:color w:val="1F2937"/>
          <w:sz w:val="22"/>
          <w:szCs w:val="22"/>
        </w:rPr>
        <w:t xml:space="preserve">théorie, section 1. Citation entre guillemets attribuée nommément au régulateur, mais non conforme : la page AMF écrit « un fonds INDICIEL qui cherche à suivre… » et ne comporte pas « à la hausse comme à la baisse ». Un mot retiré, un membre de phrase ajouté. La page était pourtant ouverte — le chiffre du TER en est tiré fidèlement dans la même section. Citation rétablie mot pour mot ; l'ajout est conservé comme formulation de la leçon, signalé comme tel.</w:t>
      </w:r>
    </w:p>
    <w:p>
      <w:pPr>
        <w:spacing w:after="60" w:before="60"/>
      </w:pPr>
      <w:r>
        <w:rPr>
          <w:rFonts w:ascii="Times New Roman" w:cs="Times New Roman" w:eastAsia="Times New Roman" w:hAnsi="Times New Roman"/>
          <w:b/>
          <w:bCs/>
          <w:color w:val="1F2937"/>
          <w:sz w:val="22"/>
          <w:szCs w:val="22"/>
        </w:rPr>
        <w:t xml:space="preserve">2. « PEA : éligible uniquement pour les ETF couvrant des zones UE/EEE » et « l'ETF MSCI World […] n'est généralement PAS éligible au PEA » — </w:t>
      </w:r>
      <w:r>
        <w:rPr>
          <w:rFonts w:ascii="Times New Roman" w:cs="Times New Roman" w:eastAsia="Times New Roman" w:hAnsi="Times New Roman"/>
          <w:color w:val="1F2937"/>
          <w:sz w:val="22"/>
          <w:szCs w:val="22"/>
        </w:rPr>
        <w:t xml:space="preserve">théorie section 5 et corrigé 3a. ERREUR DE FOND, et la réponse figurait sur la page AMF citée par la leçon : le critère porte sur la composition du PORTEFEUILLE — « investis à 75 % en actions de sociétés de l'Union européenne » — et non sur la zone couverte par l'indice. Un ETF MSCI World à réplication synthétique détient des actions européennes et échange leur performance contre celle de l'indice mondial : il est éligible PEA, et c'est le montage de référence (Amundi PEA Monde, iShares WPEA, Amundi CW8). Le mécanisme était décrit deux sections plus haut, en section 3, sans que le lien soit fait. Le corrigé 3b, qui orientait vers le CTO au motif d'une « fiscalité normale », rappelle désormais qu'un PEA de plus de cinq ans exonère les gains d'impôt sur le revenu.</w:t>
      </w:r>
    </w:p>
    <w:p>
      <w:pPr>
        <w:spacing w:after="60" w:before="60"/>
      </w:pPr>
      <w:r>
        <w:rPr>
          <w:rFonts w:ascii="Times New Roman" w:cs="Times New Roman" w:eastAsia="Times New Roman" w:hAnsi="Times New Roman"/>
          <w:b/>
          <w:bCs/>
          <w:color w:val="1F2937"/>
          <w:sz w:val="22"/>
          <w:szCs w:val="22"/>
        </w:rPr>
        <w:t xml:space="preserve">3. « Voici la fiche simplifiée d'un ETF fictif » — « Nom : Lyxor CAC 40 (DR) UCITS ETF - Dist » — </w:t>
      </w:r>
      <w:r>
        <w:rPr>
          <w:rFonts w:ascii="Times New Roman" w:cs="Times New Roman" w:eastAsia="Times New Roman" w:hAnsi="Times New Roman"/>
          <w:color w:val="1F2937"/>
          <w:sz w:val="22"/>
          <w:szCs w:val="22"/>
        </w:rPr>
        <w:t xml:space="preserve">exercice 1. Le nom annoncé comme fictif était celui d'un produit réel, et d'une marque disparue : Lyxor a été absorbée par Amundi, fusion effective au 1ᵉʳ juin 2022, toute la gamme ayant été renommée depuis. Prêter des caractéristiques inventées à un produit nommé n'est pas acceptable dans un parcours qui s'interdit toute recommandation. Remplacé par un nom générique, avec mention explicite qu'il ne renvoie à aucun produit commercialisé.</w:t>
      </w:r>
    </w:p>
    <w:p>
      <w:pPr>
        <w:spacing w:after="60" w:before="60"/>
      </w:pPr>
      <w:r>
        <w:rPr>
          <w:rFonts w:ascii="Times New Roman" w:cs="Times New Roman" w:eastAsia="Times New Roman" w:hAnsi="Times New Roman"/>
          <w:b/>
          <w:bCs/>
          <w:color w:val="1F2937"/>
          <w:sz w:val="22"/>
          <w:szCs w:val="22"/>
        </w:rPr>
        <w:t xml:space="preserve">4. « comprendre le fonctionnement de ces instruments permet de répondre aux questions pratiques des équipes sur l'orientation de leur épargne » — </w:t>
      </w:r>
      <w:r>
        <w:rPr>
          <w:rFonts w:ascii="Times New Roman" w:cs="Times New Roman" w:eastAsia="Times New Roman" w:hAnsi="Times New Roman"/>
          <w:color w:val="1F2937"/>
          <w:sz w:val="22"/>
          <w:szCs w:val="22"/>
        </w:rPr>
        <w:t xml:space="preserve">pont pro. Formulation intenable pour un chef de service qui encadre douze professionnels : le lien hiérarchique change la nature du conseil, une orientation se reçoit comme une consigne, et un placement qui se retourne laisse une trace dans la relation de travail. La mention « sans se substituer à un conseiller agréé » ne suffit pas à neutraliser l'invitation. Le pont pro pose désormais l'interdit et donne la bonne réponse : renvoyer vers le teneur de compte, la notice du dispositif ou un conseiller agréé.</w:t>
      </w:r>
    </w:p>
    <w:p>
      <w:pPr>
        <w:spacing w:after="0" w:before="200"/>
        <w:jc w:val="center"/>
      </w:pPr>
      <w:r>
        <w:rPr>
          <w:rFonts w:ascii="Times New Roman" w:cs="Times New Roman" w:eastAsia="Times New Roman" w:hAnsi="Times New Roman"/>
          <w:i/>
          <w:iCs/>
          <w:color w:val="6B7280"/>
          <w:sz w:val="20"/>
          <w:szCs w:val="20"/>
        </w:rPr>
        <w:t xml:space="preserve">Parcours éducatif Placement financier — Leçon 13/20 · Usage personnel uniquement · Pas de conseil en investissement ·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3xg4fgwqzk9epmqzhcqy" Type="http://schemas.openxmlformats.org/officeDocument/2006/relationships/hyperlink" Target="https://www.amf-france.org/fr/espace-epargnants/comprendre-les-produits-financiers/placements-collectifs/trackers-etf" TargetMode="External"/><Relationship Id="rIdybpiewwxlkkhvghdbrzyz" Type="http://schemas.openxmlformats.org/officeDocument/2006/relationships/hyperlink" Target="https://www.lafinancepourtous.com/pratique/placements/produits-de-gestion-collective-opc/trackers/que-sont-les-trackers/" TargetMode="External"/><Relationship Id="rIdzfncqbf7prkwrhq92j3da" Type="http://schemas.openxmlformats.org/officeDocument/2006/relationships/hyperlink" Target="https://www.lafinancepourtous.com/pratique/placements/produits-de-gestion-collective-opc/tracker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2026-09-05T06:08:50.941Z</dcterms:created>
  <dcterms:modified xsi:type="dcterms:W3CDTF">2026-09-05T06:08:50.970Z</dcterms:modified>
</cp:coreProperties>
</file>

<file path=docProps/custom.xml><?xml version="1.0" encoding="utf-8"?>
<Properties xmlns="http://schemas.openxmlformats.org/officeDocument/2006/custom-properties" xmlns:vt="http://schemas.openxmlformats.org/officeDocument/2006/docPropsVTypes"/>
</file>