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B3A6B"/>
          <w:sz w:val="52"/>
          <w:szCs w:val="52"/>
        </w:rPr>
        <w:t xml:space="preserve">Leçon Placement financier n°14</w:t>
      </w:r>
    </w:p>
    <w:p>
      <w:pPr>
        <w:spacing w:after="60" w:before="0"/>
        <w:jc w:val="center"/>
      </w:pPr>
      <w:r>
        <w:rPr>
          <w:rFonts w:ascii="Times New Roman" w:cs="Times New Roman" w:eastAsia="Times New Roman" w:hAnsi="Times New Roman"/>
          <w:b/>
          <w:bCs/>
          <w:color w:val="1B3A6B"/>
          <w:sz w:val="52"/>
          <w:szCs w:val="52"/>
        </w:rPr>
        <w:t xml:space="preserve">Gestion libre, gestion pilotée,</w:t>
      </w:r>
    </w:p>
    <w:p>
      <w:pPr>
        <w:spacing w:after="60" w:before="0"/>
        <w:jc w:val="center"/>
      </w:pPr>
      <w:r>
        <w:rPr>
          <w:rFonts w:ascii="Times New Roman" w:cs="Times New Roman" w:eastAsia="Times New Roman" w:hAnsi="Times New Roman"/>
          <w:b/>
          <w:bCs/>
          <w:color w:val="1B3A6B"/>
          <w:sz w:val="52"/>
          <w:szCs w:val="52"/>
        </w:rPr>
        <w:t xml:space="preserve">mandat d'arbitrage</w:t>
      </w:r>
    </w:p>
    <w:p>
      <w:pPr>
        <w:spacing w:after="200" w:before="60"/>
        <w:jc w:val="center"/>
      </w:pPr>
      <w:r>
        <w:rPr>
          <w:rFonts w:ascii="Times New Roman" w:cs="Times New Roman" w:eastAsia="Times New Roman" w:hAnsi="Times New Roman"/>
          <w:i/>
          <w:iCs/>
          <w:color w:val="6B7280"/>
          <w:sz w:val="20"/>
          <w:szCs w:val="20"/>
        </w:rPr>
        <w:t xml:space="preserve">12 septembre 2026  ·  Leçon 14 / 20</w:t>
      </w:r>
    </w:p>
    <w:p>
      <w:pPr>
        <w:spacing w:after="100" w:before="320"/>
      </w:pPr>
      <w:r>
        <w:rPr>
          <w:rFonts w:ascii="Times New Roman" w:cs="Times New Roman" w:eastAsia="Times New Roman" w:hAnsi="Times New Roman"/>
          <w:b/>
          <w:bCs/>
          <w:color w:val="1B3A6B"/>
          <w:sz w:val="30"/>
          <w:szCs w:val="30"/>
        </w:rPr>
        <w:t xml:space="preserve">🎯 Objectif &amp; continuité</w:t>
      </w:r>
    </w:p>
    <w:p>
      <w:pPr>
        <w:spacing w:after="80"/>
      </w:pPr>
      <w:r>
        <w:rPr>
          <w:rFonts w:ascii="Times New Roman" w:cs="Times New Roman" w:eastAsia="Times New Roman" w:hAnsi="Times New Roman"/>
          <w:color w:val="1F2937"/>
          <w:sz w:val="22"/>
          <w:szCs w:val="22"/>
        </w:rPr>
        <w:t xml:space="preserve">À l'issue de cette leçon, tu sauras distinguer les trois grands modes de gestion d'un portefeuille au sein des enveloppes françaises (assurance-vie, PER), comprendre ce que tu signes dans une convention de mandat d'arbitrage, et évaluer l'effet de l'empilement des frais de délégation sur ton horizon de placement.</w:t>
      </w:r>
      <w:r>
        <w:rPr>
          <w:rFonts w:ascii="Times New Roman" w:cs="Times New Roman" w:eastAsia="Times New Roman" w:hAnsi="Times New Roman"/>
          <w:i/>
          <w:iCs/>
          <w:color w:val="6B7280"/>
          <w:sz w:val="20"/>
          <w:szCs w:val="20"/>
        </w:rPr>
        <w:t xml:space="preserve"> [Précisé le 26/09/2026 : la leçon 13 annonçait « Comment évaluer la QUALITÉ d'un mandat de gestion ? ». Cette leçon y répond par le COÛT — l'empilement des frais de délégation — et par ce que contient la convention de mandat. Elle ne donne pas de grille d'évaluation de la qualité proprement dite : ni performance nette comparée à un indice de référence, ni historique du mandataire, ni contenu attendu d'un reporting. Le mot « qualité » n'y figure pas (vérifié le 26/09/2026). Ces trois points restent à traiter.]</w:t>
      </w:r>
    </w:p>
    <w:p>
      <w:pPr>
        <w:spacing w:after="80"/>
      </w:pPr>
      <w:r>
        <w:rPr>
          <w:rFonts w:ascii="Times New Roman" w:cs="Times New Roman" w:eastAsia="Times New Roman" w:hAnsi="Times New Roman"/>
          <w:color w:val="1F2937"/>
          <w:sz w:val="22"/>
          <w:szCs w:val="22"/>
        </w:rPr>
        <w:t xml:space="preserve">Continuité : la leçon n°13 a montré comment les ETF permettent une réplication d'indice à faibles frais. La question qui suit naturellement est : une fois ton allocation choisie, qui pilote le portefeuille — toi ou quelqu'un d'autre — et à quel coût ?</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Rappel</w:t>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Cette leçon relève de l'éducation financière générale et ne constitue en aucun cas un conseil en investissement personnalisé. Tout placement sur des supports en unités de compte comporte un risque de perte en capital. Pour toute décision patrimoniale, consulter un conseiller en gestion de patrimoine (CGP) ou un conseiller en investissements financiers (CIF) agréé.</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Théorie (20 %) — Les trois modes de gestion</w:t>
      </w:r>
    </w:p>
    <w:p>
      <w:pPr>
        <w:spacing w:after="80" w:before="220"/>
      </w:pPr>
      <w:r>
        <w:rPr>
          <w:rFonts w:ascii="Times New Roman" w:cs="Times New Roman" w:eastAsia="Times New Roman" w:hAnsi="Times New Roman"/>
          <w:b/>
          <w:bCs/>
          <w:color w:val="1F2937"/>
          <w:sz w:val="26"/>
          <w:szCs w:val="26"/>
        </w:rPr>
        <w:t xml:space="preserve">1. La gestion libre</w:t>
      </w:r>
    </w:p>
    <w:p>
      <w:pPr>
        <w:spacing w:after="80"/>
      </w:pPr>
      <w:r>
        <w:rPr>
          <w:rFonts w:ascii="Times New Roman" w:cs="Times New Roman" w:eastAsia="Times New Roman" w:hAnsi="Times New Roman"/>
          <w:color w:val="1F2937"/>
          <w:sz w:val="22"/>
          <w:szCs w:val="22"/>
        </w:rPr>
        <w:t xml:space="preserve">En gestion libre, l'épargnant choisit lui-même chaque support d'investissement et décide seul de tous ses arbitrages. Il n'y a aucun frais supplémentaire lié à une délégation : seuls s'appliquent les frais de gestion du contrat et les frais propres à chaque support.</w:t>
      </w:r>
    </w:p>
    <w:p>
      <w:pPr>
        <w:spacing w:after="80"/>
      </w:pPr>
      <w:r>
        <w:rPr>
          <w:rFonts w:ascii="Times New Roman" w:cs="Times New Roman" w:eastAsia="Times New Roman" w:hAnsi="Times New Roman"/>
          <w:color w:val="1F2937"/>
          <w:sz w:val="22"/>
          <w:szCs w:val="22"/>
        </w:rPr>
        <w:t xml:space="preserve">Sur les frais d'arbitrage en gestion libre, La Finance pour Tous indique (article « Assurance vie : quels sont les frais prélevés ? », mis à jour le 28 juillet 2025) :</w:t>
      </w:r>
    </w:p>
    <w:p>
      <w:pPr>
        <w:pBdr>
          <w:left w:val="single" w:color="BFDBFE" w:sz="16" w:space="180"/>
        </w:pBdr>
        <w:shd w:fill="EFF6FF" w:color="auto" w:val="clear"/>
        <w:spacing w:after="80" w:before="80"/>
        <w:ind w:left="200" w:right="200"/>
      </w:pPr>
      <w:r>
        <w:rPr>
          <w:rFonts w:ascii="Times New Roman" w:cs="Times New Roman" w:eastAsia="Times New Roman" w:hAnsi="Times New Roman"/>
          <w:color w:val="1F2937"/>
          <w:sz w:val="22"/>
          <w:szCs w:val="22"/>
        </w:rPr>
        <w:t xml:space="preserve">« Frais d'arbitrage : ils sont généralement prévus dans les contrats multisupports et sont perçus lors des modifications que vous demandez dans la répartition de votre capital entre les différents supports. Ils sont compris entre 0 % et 1 % du montant de l'opération. »</w:t>
      </w:r>
    </w:p>
    <w:p>
      <w:pPr>
        <w:spacing w:after="80"/>
      </w:pPr>
      <w:r>
        <w:rPr>
          <w:rFonts w:ascii="Times New Roman" w:cs="Times New Roman" w:eastAsia="Times New Roman" w:hAnsi="Times New Roman"/>
          <w:color w:val="1F2937"/>
          <w:sz w:val="22"/>
          <w:szCs w:val="22"/>
        </w:rPr>
        <w:t xml:space="preserve">La gestion libre exige des connaissances sur les classes d'actifs, une discipline pour rééquilibrer régulièrement, et la capacité à ne pas réagir de manière émotionnelle lors des corrections de marché.</w:t>
      </w:r>
    </w:p>
    <w:p>
      <w:pPr>
        <w:spacing w:after="80" w:before="220"/>
      </w:pPr>
      <w:r>
        <w:rPr>
          <w:rFonts w:ascii="Times New Roman" w:cs="Times New Roman" w:eastAsia="Times New Roman" w:hAnsi="Times New Roman"/>
          <w:b/>
          <w:bCs/>
          <w:color w:val="1F2937"/>
          <w:sz w:val="26"/>
          <w:szCs w:val="26"/>
        </w:rPr>
        <w:t xml:space="preserve">2. La gestion pilotée (sous mandat, profilée)</w:t>
      </w:r>
    </w:p>
    <w:p>
      <w:pPr>
        <w:spacing w:after="80"/>
      </w:pPr>
      <w:r>
        <w:rPr>
          <w:rFonts w:ascii="Times New Roman" w:cs="Times New Roman" w:eastAsia="Times New Roman" w:hAnsi="Times New Roman"/>
          <w:color w:val="1F2937"/>
          <w:sz w:val="22"/>
          <w:szCs w:val="22"/>
        </w:rPr>
        <w:t xml:space="preserve">En gestion pilotée, l'épargnant signe une convention de mandat d'arbitrage : il délègue à une société de gestion habilitée le soin de prendre les décisions d'arbitrage entre les supports, selon un profil de risque convenu au départ (prudent, équilibré, dynamique…). La société de gestion rééquilibre automatiquement le portefeuille.</w:t>
      </w:r>
    </w:p>
    <w:p>
      <w:pPr>
        <w:spacing w:after="80"/>
      </w:pPr>
      <w:r>
        <w:rPr>
          <w:rFonts w:ascii="Times New Roman" w:cs="Times New Roman" w:eastAsia="Times New Roman" w:hAnsi="Times New Roman"/>
          <w:color w:val="1F2937"/>
          <w:sz w:val="22"/>
          <w:szCs w:val="22"/>
        </w:rPr>
        <w:t xml:space="preserve">Cadre légal : l'article 35 de la loi Industrie verte (loi n° 2023-973 du 23 octobre 2023) encadre les mandats d'arbitrage dans les contrats d'assurance-vie depuis le 24 octobre 2024. L'AMF a annoncé le 4 avril 2025 que les commissions de mouvement (prélevées à chaque opération d'achat ou de vente dans le cadre du mandat) seront interdites pour les nouveaux mandats à partir du 1er janvier 2027.</w:t>
      </w:r>
    </w:p>
    <w:p>
      <w:pPr>
        <w:spacing w:after="80"/>
        <w:ind w:left="360"/>
      </w:pPr>
      <w:r>
        <w:rPr>
          <w:rFonts w:ascii="Times New Roman" w:cs="Times New Roman" w:eastAsia="Times New Roman" w:hAnsi="Times New Roman"/>
          <w:i/>
          <w:iCs/>
          <w:color w:val="6B7280"/>
          <w:sz w:val="20"/>
          <w:szCs w:val="20"/>
        </w:rPr>
        <w:t xml:space="preserve">Et pour les mandats conclus AVANT le 1er janvier 2027 — contrats à tacite reconduction compris —, l'interdiction s'applique à partir du 1er janvier 2028. Source : AMF, « Frais : l'AMF annonce la suppression des commissions de mouvement pour la gestion sous mandat », publiée le 4 avril 2025, amf-france.org/fr/actualites-publications/actualites/frais-lamf-annonce-la-suppression-des-commissions-de-mouvement-pour-la-gestion-sous-mandat — adresse ajoutée aux Ressources le 12/09/2026. ⚠️ Corrigé le 12/09/2026 : la leçon datait cette annonce du « 31 mai 2026 » et ne donnait aucune adresse. La page de l'AMF est datée du 4 avril 2025 ; le « 31/05/2026 15:50 » figure en en-tête du PDF de l'AMF et est un horodatage d'impression — le 31 mai 2026 est un dimanche. La date des mandats existants (2028), absente de la leçon, est ajoutée : c'est elle qui concerne Renaud, situation C.</w:t>
      </w:r>
    </w:p>
    <w:p>
      <w:pPr>
        <w:spacing w:after="80"/>
      </w:pPr>
      <w:r>
        <w:rPr>
          <w:rFonts w:ascii="Times New Roman" w:cs="Times New Roman" w:eastAsia="Times New Roman" w:hAnsi="Times New Roman"/>
          <w:color w:val="1F2937"/>
          <w:sz w:val="22"/>
          <w:szCs w:val="22"/>
        </w:rPr>
        <w:t xml:space="preserve">Les frais en gestion pilotée s'empilent en trois couches :</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de gestion du contrat sur les unités de compte</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des fonds sous-jacents (souvent des fonds actifs, plus coûteux que des ETF)</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de pilotage (ou de mandat) : couche supplémentaire propre à la délégation</w:t>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Point de vigilance (règle A3) : les valeurs précises de frais varient fortement selon les contrats et gestionnaires. Les chiffres de frais de mandat circulent dans la presse financière à partir de sources secondaires. Se référer systématiquement aux documents d'information clé (DIC) de chaque contrat et aux rapports officiels de l'AMF / de l'ACPR pour obtenir des données actualisées et vérifiables.</w:t>
      </w:r>
    </w:p>
    <w:p>
      <w:pPr>
        <w:spacing w:after="80" w:before="220"/>
      </w:pPr>
      <w:r>
        <w:rPr>
          <w:rFonts w:ascii="Times New Roman" w:cs="Times New Roman" w:eastAsia="Times New Roman" w:hAnsi="Times New Roman"/>
          <w:b/>
          <w:bCs/>
          <w:color w:val="1F2937"/>
          <w:sz w:val="26"/>
          <w:szCs w:val="26"/>
        </w:rPr>
        <w:t xml:space="preserve">3. La gestion à horizon (PER) — mode par défaut légal</w:t>
      </w:r>
    </w:p>
    <w:p>
      <w:pPr>
        <w:spacing w:after="80"/>
      </w:pPr>
      <w:r>
        <w:rPr>
          <w:rFonts w:ascii="Times New Roman" w:cs="Times New Roman" w:eastAsia="Times New Roman" w:hAnsi="Times New Roman"/>
          <w:color w:val="1F2937"/>
          <w:sz w:val="22"/>
          <w:szCs w:val="22"/>
        </w:rPr>
        <w:t xml:space="preserve">Dans le Plan d'Épargne Retraite, introduit par la loi PACTE (2019), la gestion à horizon est le mode de gestion par défaut. Selon l'ABE Infoservice (page sur le PER en assurance), ce mode doit permettre de « réduire progressivement le risque financier pour l'adhérent » à mesure que la retraite approche, en réorientant l'épargne vers des supports à risque croissamment faible.</w:t>
      </w:r>
    </w:p>
    <w:p>
      <w:pPr>
        <w:spacing w:after="80"/>
      </w:pPr>
      <w:r>
        <w:rPr>
          <w:rFonts w:ascii="Times New Roman" w:cs="Times New Roman" w:eastAsia="Times New Roman" w:hAnsi="Times New Roman"/>
          <w:color w:val="1F2937"/>
          <w:sz w:val="22"/>
          <w:szCs w:val="22"/>
        </w:rPr>
        <w:t xml:space="preserve">Trois profils sont proposés dans la gestion à horizon du PER (source : ABE Infoservice) :</w:t>
      </w:r>
    </w:p>
    <w:p>
      <w:pPr>
        <w:pStyle w:val="ListParagraph"/>
        <w:numPr>
          <w:ilvl w:val="0"/>
          <w:numId w:val="2"/>
        </w:numPr>
        <w:spacing w:after="60"/>
      </w:pPr>
      <w:r>
        <w:rPr>
          <w:rFonts w:ascii="Times New Roman" w:cs="Times New Roman" w:eastAsia="Times New Roman" w:hAnsi="Times New Roman"/>
          <w:color w:val="1F2937"/>
          <w:sz w:val="22"/>
          <w:szCs w:val="22"/>
        </w:rPr>
        <w:t xml:space="preserve">Prudent horizon retraite — le plus conservateur</w:t>
      </w:r>
    </w:p>
    <w:p>
      <w:pPr>
        <w:pStyle w:val="ListParagraph"/>
        <w:numPr>
          <w:ilvl w:val="0"/>
          <w:numId w:val="2"/>
        </w:numPr>
        <w:spacing w:after="60"/>
      </w:pPr>
      <w:r>
        <w:rPr>
          <w:rFonts w:ascii="Times New Roman" w:cs="Times New Roman" w:eastAsia="Times New Roman" w:hAnsi="Times New Roman"/>
          <w:color w:val="1F2937"/>
          <w:sz w:val="22"/>
          <w:szCs w:val="22"/>
        </w:rPr>
        <w:t xml:space="preserve">Équilibré horizon retraite — profil attribué par défaut si aucun choix n'est exprimé</w:t>
      </w:r>
    </w:p>
    <w:p>
      <w:pPr>
        <w:pStyle w:val="ListParagraph"/>
        <w:numPr>
          <w:ilvl w:val="0"/>
          <w:numId w:val="2"/>
        </w:numPr>
        <w:spacing w:after="60"/>
      </w:pPr>
      <w:r>
        <w:rPr>
          <w:rFonts w:ascii="Times New Roman" w:cs="Times New Roman" w:eastAsia="Times New Roman" w:hAnsi="Times New Roman"/>
          <w:color w:val="1F2937"/>
          <w:sz w:val="22"/>
          <w:szCs w:val="22"/>
        </w:rPr>
        <w:t xml:space="preserve">Dynamique horizon retraite — exposition aux actifs risqués la plus élevée</w:t>
      </w:r>
    </w:p>
    <w:p>
      <w:pPr>
        <w:spacing w:after="80"/>
      </w:pPr>
      <w:r>
        <w:rPr>
          <w:rFonts w:ascii="Times New Roman" w:cs="Times New Roman" w:eastAsia="Times New Roman" w:hAnsi="Times New Roman"/>
          <w:color w:val="1F2937"/>
          <w:sz w:val="22"/>
          <w:szCs w:val="22"/>
        </w:rPr>
        <w:t xml:space="preserve">Dans chaque profil, la part investie sur des supports à risque faible augmente mécaniquement à l'approche de la date de retraite. L'adhérent peut à tout moment renoncer à la gestion à horizon et répartir librement ses versements parmi les supports du contrat (gestion libre).</w:t>
      </w:r>
    </w:p>
    <w:p>
      <w:pPr>
        <w:spacing w:after="80" w:before="220"/>
      </w:pPr>
      <w:r>
        <w:rPr>
          <w:rFonts w:ascii="Times New Roman" w:cs="Times New Roman" w:eastAsia="Times New Roman" w:hAnsi="Times New Roman"/>
          <w:b/>
          <w:bCs/>
          <w:color w:val="1F2937"/>
          <w:sz w:val="26"/>
          <w:szCs w:val="26"/>
        </w:rPr>
        <w:t xml:space="preserve">4. L'enjeu comportemental : déléguer ou piloter soi-même ?</w:t>
      </w:r>
    </w:p>
    <w:p>
      <w:pPr>
        <w:spacing w:after="80"/>
      </w:pPr>
      <w:r>
        <w:rPr>
          <w:rFonts w:ascii="Times New Roman" w:cs="Times New Roman" w:eastAsia="Times New Roman" w:hAnsi="Times New Roman"/>
          <w:color w:val="1F2937"/>
          <w:sz w:val="22"/>
          <w:szCs w:val="22"/>
        </w:rPr>
        <w:t xml:space="preserve">La gestion libre expose à deux biais opposés : l'inaction (ne jamais rééquilibrer, laisser dériver l'allocation) et la sur-réaction (vendre après une baisse, acheter après une hausse). La gestion pilotée protège contre ces biais par la discipline mécanique du rééquilibrage automatique.</w:t>
      </w:r>
    </w:p>
    <w:p>
      <w:pPr>
        <w:spacing w:after="80"/>
      </w:pPr>
      <w:r>
        <w:rPr>
          <w:rFonts w:ascii="Times New Roman" w:cs="Times New Roman" w:eastAsia="Times New Roman" w:hAnsi="Times New Roman"/>
          <w:color w:val="1F2937"/>
          <w:sz w:val="22"/>
          <w:szCs w:val="22"/>
        </w:rPr>
        <w:t xml:space="preserve">Cet avantage comportemental a un coût : les frais supplémentaires du mandat, additionnés à ceux des supports (souvent des fonds actifs), pèsent sur la performance nette dans la durée. Les rapports réguliers de l'AMF documentent depuis plusieurs années que la majorité des fonds gérés activement sous-performent leur indice de référence sur longue période, une fois les frais déduits — ce que la leçon n°13 sur les ETF a illustré.</w:t>
      </w:r>
    </w:p>
    <w:p>
      <w:pPr>
        <w:pBdr>
          <w:left w:val="single" w:color="BFDBFE" w:sz="16" w:space="180"/>
        </w:pBdr>
        <w:shd w:fill="EFF6FF" w:color="auto" w:val="clear"/>
        <w:spacing w:after="80" w:before="80"/>
        <w:ind w:left="200" w:right="200"/>
      </w:pPr>
      <w:r>
        <w:rPr>
          <w:rFonts w:ascii="Times New Roman" w:cs="Times New Roman" w:eastAsia="Times New Roman" w:hAnsi="Times New Roman"/>
          <w:color w:val="1F2937"/>
          <w:sz w:val="22"/>
          <w:szCs w:val="22"/>
        </w:rPr>
        <w:t xml:space="preserve">Synthèse : le choix entre gestion libre et gestion pilotée n'est pas seulement une question de compétences — c'est aussi une question de coûts, d'horizon et de comportement face aux marchés. Ces trois dimensions doivent être pesées ensemble.</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Pratique (80 %) — Trois exercices</w:t>
      </w:r>
    </w:p>
    <w:p>
      <w:pPr>
        <w:spacing w:after="80" w:before="220"/>
      </w:pPr>
      <w:r>
        <w:rPr>
          <w:rFonts w:ascii="Times New Roman" w:cs="Times New Roman" w:eastAsia="Times New Roman" w:hAnsi="Times New Roman"/>
          <w:b/>
          <w:bCs/>
          <w:color w:val="1F2937"/>
          <w:sz w:val="26"/>
          <w:szCs w:val="26"/>
        </w:rPr>
        <w:t xml:space="preserve">Exercice 1 — Identifier le mode de gestion adapté à chaque situation</w:t>
      </w:r>
    </w:p>
    <w:p>
      <w:pPr>
        <w:spacing w:after="80"/>
      </w:pPr>
      <w:r>
        <w:rPr>
          <w:rFonts w:ascii="Times New Roman" w:cs="Times New Roman" w:eastAsia="Times New Roman" w:hAnsi="Times New Roman"/>
          <w:color w:val="1F2937"/>
          <w:sz w:val="22"/>
          <w:szCs w:val="22"/>
        </w:rPr>
        <w:t xml:space="preserve">Pour chacune des quatre situations ci-dessous, indique : (a) quel mode de gestion est décrit ou serait le plus adapté (gestion libre, gestion pilotée, ou gestion à horizon PER) ; (b) justifie en une phrase.</w:t>
      </w:r>
    </w:p>
    <w:p>
      <w:pPr>
        <w:spacing w:after="4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A : Marc, 45 ans, suit ses placements chaque semaine, sait lire une fiche DIC, est à l'aise pour arbitrer entre un ETF World et un fonds obligataire. Il déteste payer des frais supplémentaires.</w:t>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B : Sophie, 58 ans, sans connaissances financières particulières, ne souhaite pas s'impliquer au quotidien. Elle place dans son PER avec un horizon retraite de 7 ans et veut que le risque diminue automatiquement.</w:t>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C : Renaud, 50 ans, a signé il y a 5 ans une convention de mandat d'arbitrage « profil dynamique ». Il reçoit un rapport trimestriel mais n'a jamais relu le questionnaire de convenance initial.</w:t>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D : Claire, 35 ans, ouvre une assurance-vie et hésite. Elle aimerait investir en ETF mais ne sait pas si elle aura le temps de suivre régulièrement.</w:t>
      </w:r>
    </w:p>
    <w:p>
      <w:pPr>
        <w:spacing w:after="40"/>
      </w:pPr>
      <w:r>
        <w:t xml:space="preserve"/>
      </w:r>
    </w:p>
    <w:p>
      <w:pPr>
        <w:spacing w:after="80"/>
      </w:pPr>
      <w:r>
        <w:rPr>
          <w:rFonts w:ascii="Times New Roman" w:cs="Times New Roman" w:eastAsia="Times New Roman" w:hAnsi="Times New Roman"/>
          <w:color w:val="1F2937"/>
          <w:sz w:val="22"/>
          <w:szCs w:val="22"/>
        </w:rPr>
        <w:t xml:space="preserve">Corrigé :</w:t>
      </w:r>
    </w:p>
    <w:p>
      <w:pPr>
        <w:pStyle w:val="ListParagraph"/>
        <w:numPr>
          <w:ilvl w:val="0"/>
          <w:numId w:val="2"/>
        </w:numPr>
        <w:spacing w:after="60"/>
      </w:pPr>
      <w:r>
        <w:rPr>
          <w:rFonts w:ascii="Times New Roman" w:cs="Times New Roman" w:eastAsia="Times New Roman" w:hAnsi="Times New Roman"/>
          <w:color w:val="1F2937"/>
          <w:sz w:val="22"/>
          <w:szCs w:val="22"/>
        </w:rPr>
        <w:t xml:space="preserve">A → Gestion libre. Marc dispose des compétences et de la motivation, et cherche à minimiser les frais : la gestion libre en ETF est cohérente avec ce profil. La délégation lui coûterait une couche de frais sans valeur ajoutée pour lui.</w:t>
      </w:r>
    </w:p>
    <w:p>
      <w:pPr>
        <w:pStyle w:val="ListParagraph"/>
        <w:numPr>
          <w:ilvl w:val="0"/>
          <w:numId w:val="2"/>
        </w:numPr>
        <w:spacing w:after="60"/>
      </w:pPr>
      <w:r>
        <w:rPr>
          <w:rFonts w:ascii="Times New Roman" w:cs="Times New Roman" w:eastAsia="Times New Roman" w:hAnsi="Times New Roman"/>
          <w:color w:val="1F2937"/>
          <w:sz w:val="22"/>
          <w:szCs w:val="22"/>
        </w:rPr>
        <w:t xml:space="preserve">B → Gestion à horizon PER (pilotée par défaut). Sophie correspond au public visé par la loi PACTE : non-initiée, horizon proche, besoin d'une sécurisation automatique. Elle devra vérifier que le profil par défaut (équilibré) est adapté à sa tolérance réelle au risque.</w:t>
      </w:r>
    </w:p>
    <w:p>
      <w:pPr>
        <w:pStyle w:val="ListParagraph"/>
        <w:numPr>
          <w:ilvl w:val="0"/>
          <w:numId w:val="2"/>
        </w:numPr>
        <w:spacing w:after="60"/>
      </w:pPr>
      <w:r>
        <w:rPr>
          <w:rFonts w:ascii="Times New Roman" w:cs="Times New Roman" w:eastAsia="Times New Roman" w:hAnsi="Times New Roman"/>
          <w:color w:val="1F2937"/>
          <w:sz w:val="22"/>
          <w:szCs w:val="22"/>
        </w:rPr>
        <w:t xml:space="preserve">C → Gestion pilotée sous mandat — mais avec un risque identifié : le profil initial peut ne plus correspondre à sa situation après 5 ans. Il devrait relire et mettre à jour son questionnaire de convenance, car c'est ce document qui encadre légalement les décisions du mandataire. Et comme son mandat a été conclu avant le 1er janvier 2027, l'interdiction des commissions de mouvement s'y appliquera au 1er janvier 2028 : sa grille de frais va changer, et il doit attendre une proposition de nouvelle grille de son gestionnaire (ajouté le 12/09/2026).</w:t>
      </w:r>
    </w:p>
    <w:p>
      <w:pPr>
        <w:pStyle w:val="ListParagraph"/>
        <w:numPr>
          <w:ilvl w:val="0"/>
          <w:numId w:val="2"/>
        </w:numPr>
        <w:spacing w:after="60"/>
      </w:pPr>
      <w:r>
        <w:rPr>
          <w:rFonts w:ascii="Times New Roman" w:cs="Times New Roman" w:eastAsia="Times New Roman" w:hAnsi="Times New Roman"/>
          <w:color w:val="1F2937"/>
          <w:sz w:val="22"/>
          <w:szCs w:val="22"/>
        </w:rPr>
        <w:t xml:space="preserve">D → Question ouverte légitime. La gestion libre en ETF est potentiellement moins coûteuse mais exige du suivi. Si elle anticipe peu de disponibilité, la gestion pilotée peut être un compromis raisonnable — à condition de comparer les frais totaux (trois couches) des deux options avant de signer.</w:t>
      </w:r>
    </w:p>
    <w:p>
      <w:pPr>
        <w:pBdr>
          <w:bottom w:val="single" w:color="E5E7EB" w:sz="4" w:space="0"/>
        </w:pBdr>
        <w:spacing w:after="120" w:before="120"/>
      </w:pPr>
      <w:r>
        <w:t xml:space="preserve"/>
      </w:r>
    </w:p>
    <w:p>
      <w:pPr>
        <w:spacing w:after="80" w:before="220"/>
      </w:pPr>
      <w:r>
        <w:rPr>
          <w:rFonts w:ascii="Times New Roman" w:cs="Times New Roman" w:eastAsia="Times New Roman" w:hAnsi="Times New Roman"/>
          <w:b/>
          <w:bCs/>
          <w:color w:val="1F2937"/>
          <w:sz w:val="26"/>
          <w:szCs w:val="26"/>
        </w:rPr>
        <w:t xml:space="preserve">Exercice 2 — L'impact des frais sur l'horizon</w:t>
      </w:r>
    </w:p>
    <w:p>
      <w:pPr>
        <w:spacing w:after="80"/>
      </w:pPr>
      <w:r>
        <w:rPr>
          <w:rFonts w:ascii="Times New Roman" w:cs="Times New Roman" w:eastAsia="Times New Roman" w:hAnsi="Times New Roman"/>
          <w:color w:val="1F2937"/>
          <w:sz w:val="22"/>
          <w:szCs w:val="22"/>
        </w:rPr>
        <w:t xml:space="preserve">Hypothèse pédagogique : les rendements utilisés ci-dessous sont fictifs. Ils servent uniquement à illustrer le mécanisme mathématique des frais et ne constituent pas une prévision ni une recommandation.</w:t>
      </w:r>
    </w:p>
    <w:p>
      <w:pPr>
        <w:spacing w:after="80"/>
      </w:pPr>
      <w:r>
        <w:rPr>
          <w:rFonts w:ascii="Times New Roman" w:cs="Times New Roman" w:eastAsia="Times New Roman" w:hAnsi="Times New Roman"/>
          <w:color w:val="1F2937"/>
          <w:sz w:val="22"/>
          <w:szCs w:val="22"/>
        </w:rPr>
        <w:t xml:space="preserve">Tu places 30 000 € dans une assurance-vie multisupport pendant 8 ans. Le rendement brut annuel hypothétique est identique dans les deux scénarios (5 %). Seuls les frais totaux diffèrent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A — Gestion libre avec ETF : frais totaux annuels = 0,80 %  →  taux net = 4,20 %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B — Gestion pilotée : frais totaux annuels = 2,20 %  →  taux net = 2,80 %</w:t>
      </w:r>
    </w:p>
    <w:p>
      <w:pPr>
        <w:spacing w:after="40"/>
      </w:pPr>
      <w:r>
        <w:t xml:space="preserve"/>
      </w:r>
    </w:p>
    <w:p>
      <w:pPr>
        <w:spacing w:after="80"/>
      </w:pPr>
      <w:r>
        <w:rPr>
          <w:rFonts w:ascii="Times New Roman" w:cs="Times New Roman" w:eastAsia="Times New Roman" w:hAnsi="Times New Roman"/>
          <w:color w:val="1F2937"/>
          <w:sz w:val="22"/>
          <w:szCs w:val="22"/>
        </w:rPr>
        <w:t xml:space="preserve">Utilise la formule des intérêts composés nets :  Valeur finale = Capital × (1 + taux net)^durée</w:t>
      </w:r>
    </w:p>
    <w:p>
      <w:pPr>
        <w:spacing w:after="40"/>
      </w:pPr>
      <w:r>
        <w:t xml:space="preserve"/>
      </w:r>
    </w:p>
    <w:p>
      <w:pPr>
        <w:spacing w:after="80"/>
      </w:pPr>
      <w:r>
        <w:rPr>
          <w:rFonts w:ascii="Times New Roman" w:cs="Times New Roman" w:eastAsia="Times New Roman" w:hAnsi="Times New Roman"/>
          <w:color w:val="1F2937"/>
          <w:sz w:val="22"/>
          <w:szCs w:val="22"/>
        </w:rPr>
        <w:t xml:space="preserve">Corrigé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A : 30 000 × (1,042)^8 ≈ 30 000 × 1,390 ≈ 41 700 €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B : 30 000 × (1,028)^8 ≈ 30 000 × 1,2472 ≈ 37 417 €   ⚠️ Corrigé le 12/09/2026 : la leçon écrivait « 1,249 ≈ 37 470 € ». Le facteur exact est 1,2472 ; un facteur arrondi de deux millièmes vers le haut déplace le résultat de 53 €.</w:t>
      </w:r>
    </w:p>
    <w:p>
      <w:pPr>
        <w:pStyle w:val="ListParagraph"/>
        <w:numPr>
          <w:ilvl w:val="0"/>
          <w:numId w:val="2"/>
        </w:numPr>
        <w:spacing w:after="60"/>
      </w:pPr>
      <w:r>
        <w:rPr>
          <w:rFonts w:ascii="Times New Roman" w:cs="Times New Roman" w:eastAsia="Times New Roman" w:hAnsi="Times New Roman"/>
          <w:color w:val="1F2937"/>
          <w:sz w:val="22"/>
          <w:szCs w:val="22"/>
        </w:rPr>
        <w:t xml:space="preserve">Écart : environ 4 280 € en faveur du scénario A (41 693 − 37 417 = 4 276 €), soit environ +11 % de capital final en plus (11,4 %)</w:t>
      </w:r>
    </w:p>
    <w:p>
      <w:pPr>
        <w:spacing w:after="80"/>
      </w:pPr>
      <w:r>
        <w:rPr>
          <w:rFonts w:ascii="Times New Roman" w:cs="Times New Roman" w:eastAsia="Times New Roman" w:hAnsi="Times New Roman"/>
          <w:color w:val="1F2937"/>
          <w:sz w:val="22"/>
          <w:szCs w:val="22"/>
        </w:rPr>
        <w:t xml:space="preserve">Ce calcul est illustratif : il suppose un rendement brut identique et des frais constants sur 8 ans, ce qui ne reflète pas la réalité (rendements variables, marchés, fiscalité à la sortie). Il illustre cependant le seul effet mécanique des frais, à rendement brut égal.</w:t>
      </w:r>
    </w:p>
    <w:p>
      <w:pPr>
        <w:pBdr>
          <w:left w:val="single" w:color="BFDBFE" w:sz="16" w:space="180"/>
        </w:pBdr>
        <w:shd w:fill="EFF6FF" w:color="auto" w:val="clear"/>
        <w:spacing w:after="80" w:before="80"/>
        <w:ind w:left="200" w:right="200"/>
      </w:pPr>
      <w:r>
        <w:rPr>
          <w:rFonts w:ascii="Times New Roman" w:cs="Times New Roman" w:eastAsia="Times New Roman" w:hAnsi="Times New Roman"/>
          <w:color w:val="1F2937"/>
          <w:sz w:val="22"/>
          <w:szCs w:val="22"/>
        </w:rPr>
        <w:t xml:space="preserve">Question de réflexion : qu'est-ce que la gestion pilotée doit apporter — en discipline comportementale, en tranquillité, en performance éventuelle — pour justifier cet écart de coût sur ton horizon ? C'est la vraie question à poser à un conseiller.</w:t>
      </w:r>
    </w:p>
    <w:p>
      <w:pPr>
        <w:pBdr>
          <w:bottom w:val="single" w:color="E5E7EB" w:sz="4" w:space="0"/>
        </w:pBdr>
        <w:spacing w:after="120" w:before="120"/>
      </w:pPr>
      <w:r>
        <w:t xml:space="preserve"/>
      </w:r>
    </w:p>
    <w:p>
      <w:pPr>
        <w:spacing w:after="80" w:before="220"/>
      </w:pPr>
      <w:r>
        <w:rPr>
          <w:rFonts w:ascii="Times New Roman" w:cs="Times New Roman" w:eastAsia="Times New Roman" w:hAnsi="Times New Roman"/>
          <w:b/>
          <w:bCs/>
          <w:color w:val="1F2937"/>
          <w:sz w:val="26"/>
          <w:szCs w:val="26"/>
        </w:rPr>
        <w:t xml:space="preserve">Exercice 3 — Décrypter une convention de mandat d'arbitrage</w:t>
      </w:r>
    </w:p>
    <w:p>
      <w:pPr>
        <w:spacing w:after="80"/>
      </w:pPr>
      <w:r>
        <w:rPr>
          <w:rFonts w:ascii="Times New Roman" w:cs="Times New Roman" w:eastAsia="Times New Roman" w:hAnsi="Times New Roman"/>
          <w:color w:val="1F2937"/>
          <w:sz w:val="22"/>
          <w:szCs w:val="22"/>
        </w:rPr>
        <w:t xml:space="preserve">Imagine que tu reçois un extrait de convention de mandat. Pour chacune des trois clauses ci-dessous, indique ce qu'elle signifie en langage courant et ce que tu dois vérifier avant de signer.</w:t>
      </w:r>
    </w:p>
    <w:p>
      <w:pPr>
        <w:spacing w:after="4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1 : « Le mandataire est autorisé à effectuer tous arbitrages entre supports du contrat, y compris vers le fonds en euros, sans accord préalable du mandant, dans le respect du profil de risque défini au questionnaire de convenance joint. »</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2 : « Des frais de pilotage de 0,35 % annuels sont prélevés sur l'encours géré sous mandat. Ces frais s'ajoutent aux frais de gestion du contrat et aux frais des supports sous-jacents. »</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3 : « Le mandataire peut investir dans des OPCVM distribués par des entités du même groupe financier, dans la limite de 40 % de l'allocation. »</w:t>
      </w:r>
    </w:p>
    <w:p>
      <w:pPr>
        <w:spacing w:after="40"/>
      </w:pPr>
      <w:r>
        <w:t xml:space="preserve"/>
      </w:r>
    </w:p>
    <w:p>
      <w:pPr>
        <w:spacing w:after="80"/>
      </w:pPr>
      <w:r>
        <w:rPr>
          <w:rFonts w:ascii="Times New Roman" w:cs="Times New Roman" w:eastAsia="Times New Roman" w:hAnsi="Times New Roman"/>
          <w:color w:val="1F2937"/>
          <w:sz w:val="22"/>
          <w:szCs w:val="22"/>
        </w:rPr>
        <w:t xml:space="preserve">Corrigé :</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1 : la société de gestion peut déplacer ton épargne entre tous les supports du contrat sans te demander à chaque fois — c'est le principe de la délégation. À vérifier : le questionnaire de convenance est-il joint et signé ? Est-il à jour par rapport à ta situation actuelle ? C'est ce document qui encadre légalement les décisions du mandataire.</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2 : les frais de pilotage (0,35 %/an) s'ajoutent aux autres couches. Si les frais de gestion du contrat sur UC sont par exemple à 0,80 % et les frais moyens des supports à 1,00 %, le coût total atteint 2,15 %/an. C'est ce chiffre global qui compte, pas chaque ligne isolément. Le DIC de chaque support doit mentionner ses propres frais courants.</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3 : la société de gestion peut allouer jusqu'à 40 % de ton épargne vers ses propres fonds, ce qui constitue un potentiel conflit d'intérêts. Cette pratique est légale en France mais doit être signalée dans les documents précontractuels. À vérifier : la performance de ces fonds maison est-elle compétitive par rapport à des alternatives tierces ou à des ETF comparables ?</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Challenge — Construire ton tableau de comparaison</w:t>
      </w:r>
    </w:p>
    <w:p>
      <w:pPr>
        <w:spacing w:after="80"/>
      </w:pPr>
      <w:r>
        <w:rPr>
          <w:rFonts w:ascii="Times New Roman" w:cs="Times New Roman" w:eastAsia="Times New Roman" w:hAnsi="Times New Roman"/>
          <w:color w:val="1F2937"/>
          <w:sz w:val="22"/>
          <w:szCs w:val="22"/>
        </w:rPr>
        <w:t xml:space="preserve">Remplis le tableau ci-dessous pour une enveloppe de ton choix (assurance-vie ou PER). Si tu as déjà un contrat, utilise les documents contractuels. Sinon, demande les conditions tarifaires à ton établissement financier et complète les colonnes.</w:t>
      </w:r>
    </w:p>
    <w:p>
      <w:pPr>
        <w:spacing w:after="40"/>
      </w:pPr>
      <w:r>
        <w:t xml:space="preserve"/>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B3A6B" w:color="auto" w:val="clear"/>
            <w:tcMar>
              <w:top w:type="dxa" w:w="60"/>
              <w:left w:type="dxa" w:w="120"/>
              <w:bottom w:type="dxa" w:w="60"/>
              <w:right w:type="dxa" w:w="120"/>
            </w:tcMar>
            <w:vAlign w:val="center"/>
          </w:tcPr>
          <w:p>
            <w:r>
              <w:rPr>
                <w:rFonts w:ascii="Times New Roman" w:cs="Times New Roman" w:eastAsia="Times New Roman" w:hAnsi="Times New Roman"/>
                <w:b/>
                <w:bCs/>
                <w:color w:val="FFFFFF"/>
                <w:sz w:val="20"/>
                <w:szCs w:val="20"/>
              </w:rPr>
              <w:t xml:space="preserve">Critère</w:t>
            </w:r>
          </w:p>
        </w:tc>
        <w:tc>
          <w:tcPr>
            <w:tcW w:type="dxa" w:w="3853"/>
            <w:shd w:fill="1B3A6B" w:color="auto" w:val="clear"/>
            <w:tcMar>
              <w:top w:type="dxa" w:w="60"/>
              <w:left w:type="dxa" w:w="120"/>
              <w:bottom w:type="dxa" w:w="60"/>
              <w:right w:type="dxa" w:w="120"/>
            </w:tcMar>
            <w:vAlign w:val="center"/>
          </w:tcPr>
          <w:p>
            <w:r>
              <w:rPr>
                <w:rFonts w:ascii="Times New Roman" w:cs="Times New Roman" w:eastAsia="Times New Roman" w:hAnsi="Times New Roman"/>
                <w:b/>
                <w:bCs/>
                <w:color w:val="FFFFFF"/>
                <w:sz w:val="20"/>
                <w:szCs w:val="20"/>
              </w:rPr>
              <w:t xml:space="preserve">Gestion libre</w:t>
            </w:r>
          </w:p>
        </w:tc>
        <w:tc>
          <w:tcPr>
            <w:tcW w:type="dxa" w:w="3853"/>
            <w:shd w:fill="1B3A6B" w:color="auto" w:val="clear"/>
            <w:tcMar>
              <w:top w:type="dxa" w:w="60"/>
              <w:left w:type="dxa" w:w="120"/>
              <w:bottom w:type="dxa" w:w="60"/>
              <w:right w:type="dxa" w:w="120"/>
            </w:tcMar>
            <w:vAlign w:val="center"/>
          </w:tcPr>
          <w:p>
            <w:r>
              <w:rPr>
                <w:rFonts w:ascii="Times New Roman" w:cs="Times New Roman" w:eastAsia="Times New Roman" w:hAnsi="Times New Roman"/>
                <w:b/>
                <w:bCs/>
                <w:color w:val="FFFFFF"/>
                <w:sz w:val="20"/>
                <w:szCs w:val="20"/>
              </w:rPr>
              <w:t xml:space="preserve">Gestion pilotée</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Qui prend les décisions d'arbitrage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Toi seul</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Société de gestion mandatée</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Profil de risque formalisé à la souscription ?</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(questionnaire de convenance)</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Frais d'arbitrage (à relever sur ton DIC)</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À compléter : 0 % à 1 %*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À compléter (variable)</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Frais de mandat annuels</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Aucun</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À compléter sur ton DIC</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Rééquilibrage automatique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 — tu le fais toi-même</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 automatique</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Gestion à horizon disponible (PER) ?</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(mode légal par défaut)</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Convient si peu de temps à consacrer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Convient si compétences en placements ?</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 coût moindre</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 mais surcoût potentiel</w:t>
            </w:r>
          </w:p>
        </w:tc>
      </w:tr>
    </w:tbl>
    <w:p>
      <w:pPr>
        <w:spacing w:after="40"/>
      </w:pPr>
      <w:r>
        <w:t xml:space="preserve"/>
      </w:r>
    </w:p>
    <w:p>
      <w:pPr>
        <w:spacing w:after="80"/>
        <w:ind w:left="360"/>
      </w:pPr>
      <w:r>
        <w:rPr>
          <w:rFonts w:ascii="Times New Roman" w:cs="Times New Roman" w:eastAsia="Times New Roman" w:hAnsi="Times New Roman"/>
          <w:i/>
          <w:iCs/>
          <w:color w:val="6B7280"/>
          <w:sz w:val="20"/>
          <w:szCs w:val="20"/>
        </w:rPr>
        <w:t xml:space="preserve">* Fourchette indiquée par La Finance pour Tous (article « Assurance vie : quels sont les frais prélevés ? », 28 juillet 2025). Vérifier le chiffre exact sur ton propre contrat.</w:t>
      </w:r>
    </w:p>
    <w:p>
      <w:pPr>
        <w:spacing w:after="40"/>
      </w:pPr>
      <w:r>
        <w:t xml:space="preserve"/>
      </w:r>
    </w:p>
    <w:p>
      <w:pPr>
        <w:spacing w:after="80"/>
      </w:pPr>
      <w:r>
        <w:rPr>
          <w:rFonts w:ascii="Times New Roman" w:cs="Times New Roman" w:eastAsia="Times New Roman" w:hAnsi="Times New Roman"/>
          <w:color w:val="1F2937"/>
          <w:sz w:val="22"/>
          <w:szCs w:val="22"/>
        </w:rPr>
        <w:t xml:space="preserve">Question de challenge : au vu de ton horizon de 7-8 ans et de l'implication que tu peux réellement consacrer à tes placements, quel mode de gestion te semble le plus cohérent ? Formule ta réflexion en 5-6 lignes en distinguant ce qui relève de l'objectif, du coût et du comportement. Cette réflexion constituera un point de départ utile pour un entretien avec un CGP/CIF.</w:t>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Rappel : ce challenge est un exercice d'éducation financière. Il ne produit pas une décision d'investissement. Toute décision réelle doit s'appuyer sur un bilan patrimonial complet réalisé avec un professionnel agréé.</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Pont pro (optionnel)</w:t>
      </w:r>
    </w:p>
    <w:p>
      <w:pPr>
        <w:spacing w:after="80"/>
      </w:pPr>
      <w:r>
        <w:rPr>
          <w:rFonts w:ascii="Times New Roman" w:cs="Times New Roman" w:eastAsia="Times New Roman" w:hAnsi="Times New Roman"/>
          <w:color w:val="1F2937"/>
          <w:sz w:val="22"/>
          <w:szCs w:val="22"/>
        </w:rPr>
        <w:t xml:space="preserve">La logique du mandat d'arbitrage — déléguer des décisions à quelqu'un de compétent selon un profil convenu, avec un cadre contractuel et des indicateurs de suivi — est structurellement proche de la délégation managériale. Un chef de service qui délègue à un éducateur spécialisé ne renonce pas à son autorité : il fixe le cadre, définit les objectifs et contrôle les résultats. La différence de coût entre gestion libre et gestion pilotée illustre que toute délégation a un prix — et que ce prix se justifie ou non selon la valeur ajoutée réellement apportée. Observation personnelle, non opposable dans un contexte institutionnel.</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Ressources cliquables</w:t>
      </w:r>
    </w:p>
    <w:p>
      <w:pPr>
        <w:spacing w:after="80"/>
      </w:pPr>
      <w:r>
        <w:rPr>
          <w:rFonts w:ascii="Times New Roman" w:cs="Times New Roman" w:eastAsia="Times New Roman" w:hAnsi="Times New Roman"/>
          <w:color w:val="1F2937"/>
          <w:sz w:val="22"/>
          <w:szCs w:val="22"/>
        </w:rPr>
        <w:t xml:space="preserve">Sources utilisées dans cette leçon (statut HTTP vérifié lors de cette exécution) :</w:t>
      </w:r>
    </w:p>
    <w:p>
      <w:pPr>
        <w:spacing w:after="40"/>
      </w:pPr>
      <w:r>
        <w:t xml:space="preserve"/>
      </w:r>
    </w:p>
    <w:p>
      <w:pPr>
        <w:spacing w:after="70"/>
      </w:pPr>
      <w:hyperlink w:history="1" r:id="rIdv1re6rbpc_gujpyhbj23s">
        <w:r>
          <w:rPr>
            <w:rFonts w:ascii="Times New Roman" w:cs="Times New Roman" w:eastAsia="Times New Roman" w:hAnsi="Times New Roman"/>
            <w:color w:val="1155CC"/>
            <w:sz w:val="22"/>
            <w:szCs w:val="22"/>
            <w:u w:val="single"/>
          </w:rPr>
          <w:t xml:space="preserve">La Finance pour Tous — Assurance vie : quels sont les frais prélevés ?</w:t>
        </w:r>
      </w:hyperlink>
      <w:r>
        <w:rPr>
          <w:rFonts w:ascii="Times New Roman" w:cs="Times New Roman" w:eastAsia="Times New Roman" w:hAnsi="Times New Roman"/>
          <w:i/>
          <w:iCs/>
          <w:color w:val="6B7280"/>
          <w:sz w:val="20"/>
          <w:szCs w:val="20"/>
        </w:rPr>
        <w:t xml:space="preserve">  200 OK · source officielle IEFP · citation verbatim des frais d'arbitrage utilisée dans la leçon</w:t>
      </w:r>
    </w:p>
    <w:p>
      <w:pPr>
        <w:spacing w:after="70"/>
      </w:pPr>
      <w:hyperlink w:history="1" r:id="rIdgykzkkiez91tdsdkiujt4">
        <w:r>
          <w:rPr>
            <w:rFonts w:ascii="Times New Roman" w:cs="Times New Roman" w:eastAsia="Times New Roman" w:hAnsi="Times New Roman"/>
            <w:color w:val="1155CC"/>
            <w:sz w:val="22"/>
            <w:szCs w:val="22"/>
            <w:u w:val="single"/>
          </w:rPr>
          <w:t xml:space="preserve">France Épargne — Gestion pilotée en assurance vie, le guide complet</w:t>
        </w:r>
      </w:hyperlink>
      <w:r>
        <w:rPr>
          <w:rFonts w:ascii="Times New Roman" w:cs="Times New Roman" w:eastAsia="Times New Roman" w:hAnsi="Times New Roman"/>
          <w:i/>
          <w:iCs/>
          <w:color w:val="6B7280"/>
          <w:sz w:val="20"/>
          <w:szCs w:val="20"/>
        </w:rPr>
        <w:t xml:space="preserve">  200 OK · source secondaire · informations sur le décret n°2024-572 et les couches de frais · à compléter avec sources officielles</w:t>
      </w:r>
    </w:p>
    <w:p>
      <w:pPr>
        <w:spacing w:after="70"/>
      </w:pPr>
      <w:hyperlink w:history="1" r:id="rIdjsoqutmv1s8sjaxayrf47">
        <w:r>
          <w:rPr>
            <w:rFonts w:ascii="Times New Roman" w:cs="Times New Roman" w:eastAsia="Times New Roman" w:hAnsi="Times New Roman"/>
            <w:color w:val="1155CC"/>
            <w:sz w:val="22"/>
            <w:szCs w:val="22"/>
            <w:u w:val="single"/>
          </w:rPr>
          <w:t xml:space="preserve">Calcunet — Gestion pilotée en assurance vie et PER : fonctionnement, frais réels et performance en 2026</w:t>
        </w:r>
      </w:hyperlink>
      <w:r>
        <w:rPr>
          <w:rFonts w:ascii="Times New Roman" w:cs="Times New Roman" w:eastAsia="Times New Roman" w:hAnsi="Times New Roman"/>
          <w:i/>
          <w:iCs/>
          <w:color w:val="6B7280"/>
          <w:sz w:val="20"/>
          <w:szCs w:val="20"/>
        </w:rPr>
        <w:t xml:space="preserve">  200 OK · source secondaire · comparatif gestion libre / pilotée · chiffres de frais à vérifier sur sources primaires AMF/ACPR</w:t>
      </w:r>
    </w:p>
    <w:p>
      <w:pPr>
        <w:spacing w:after="70"/>
      </w:pPr>
      <w:hyperlink w:history="1" r:id="rIdpug2aimwrqbpsf4f0-9y4">
        <w:r>
          <w:rPr>
            <w:rFonts w:ascii="Times New Roman" w:cs="Times New Roman" w:eastAsia="Times New Roman" w:hAnsi="Times New Roman"/>
            <w:color w:val="1155CC"/>
            <w:sz w:val="22"/>
            <w:szCs w:val="22"/>
            <w:u w:val="single"/>
          </w:rPr>
          <w:t xml:space="preserve">ABE Infoservice — PER en assurance : quel fonctionnement ? (trois profils de la gestion à horizon)</w:t>
        </w:r>
      </w:hyperlink>
      <w:r>
        <w:rPr>
          <w:rFonts w:ascii="Times New Roman" w:cs="Times New Roman" w:eastAsia="Times New Roman" w:hAnsi="Times New Roman"/>
          <w:i/>
          <w:iCs/>
          <w:color w:val="6B7280"/>
          <w:sz w:val="20"/>
          <w:szCs w:val="20"/>
        </w:rPr>
        <w:t xml:space="preserve">  403 anti-robot pour le job · page accessible en navigation normale (200, 22 051 caractères utiles au 12/09/2026, citation et trois profils vérifiés présents) · source officielle AMF/ACPR</w:t>
      </w:r>
    </w:p>
    <w:p>
      <w:pPr>
        <w:spacing w:after="70"/>
      </w:pPr>
      <w:hyperlink w:history="1" r:id="rIdrzbehfr-fuyb-m1z4_s3j">
        <w:r>
          <w:rPr>
            <w:rFonts w:ascii="Times New Roman" w:cs="Times New Roman" w:eastAsia="Times New Roman" w:hAnsi="Times New Roman"/>
            <w:color w:val="1155CC"/>
            <w:sz w:val="22"/>
            <w:szCs w:val="22"/>
            <w:u w:val="single"/>
          </w:rPr>
          <w:t xml:space="preserve">La Finance pour Tous — Qu'est-ce que l'assurance vie ?</w:t>
        </w:r>
      </w:hyperlink>
      <w:r>
        <w:rPr>
          <w:rFonts w:ascii="Times New Roman" w:cs="Times New Roman" w:eastAsia="Times New Roman" w:hAnsi="Times New Roman"/>
          <w:i/>
          <w:iCs/>
          <w:color w:val="6B7280"/>
          <w:sz w:val="20"/>
          <w:szCs w:val="20"/>
        </w:rPr>
        <w:t xml:space="preserve">  200 OK · rappel du cadre général de l'enveloppe</w:t>
      </w:r>
    </w:p>
    <w:p>
      <w:pPr>
        <w:spacing w:after="70"/>
      </w:pPr>
      <w:hyperlink w:history="1" r:id="rIdamfcommissions20260912">
        <w:r>
          <w:rPr>
            <w:rFonts w:ascii="Times New Roman" w:cs="Times New Roman" w:eastAsia="Times New Roman" w:hAnsi="Times New Roman"/>
            <w:color w:val="1155CC"/>
            <w:sz w:val="22"/>
            <w:szCs w:val="22"/>
            <w:u w:val="single"/>
          </w:rPr>
          <w:t xml:space="preserve">AMF — Frais : l'AMF annonce la suppression des commissions de mouvement pour la gestion sous mandat (4 avril 2025)</w:t>
        </w:r>
      </w:hyperlink>
      <w:r>
        <w:rPr>
          <w:rFonts w:ascii="Times New Roman" w:cs="Times New Roman" w:eastAsia="Times New Roman" w:hAnsi="Times New Roman"/>
          <w:i/>
          <w:iCs/>
          <w:color w:val="6B7280"/>
          <w:sz w:val="20"/>
          <w:szCs w:val="20"/>
        </w:rPr>
        <w:t xml:space="preserve">  200 OK · source primaire · AJOUTÉE LE 12/09/2026 : la leçon nommait cette annonce sans adresse et avec une date fausse · 7 722 caractères utiles · porte les deux dates, 1er janvier 2027 (nouveaux mandats) et 1er janvier 2028 (mandats existants)</w:t>
      </w:r>
    </w:p>
    <w:p>
      <w:pPr>
        <w:spacing w:after="40"/>
      </w:pPr>
      <w:r>
        <w:t xml:space="preserve"/>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Chiffres fiscaux (abattements après 8 ans, abattements successoraux) : non vérifiés sur source primaire (impots.gouv.fr) lors de cette exécution. Consulter directement impots.gouv.fr ou service-public.fr pour les valeurs en vigueur avant toute décision.</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Pour aller plus loin avec un professionnel</w:t>
      </w:r>
    </w:p>
    <w:p>
      <w:pPr>
        <w:spacing w:after="80"/>
      </w:pPr>
      <w:r>
        <w:rPr>
          <w:rFonts w:ascii="Times New Roman" w:cs="Times New Roman" w:eastAsia="Times New Roman" w:hAnsi="Times New Roman"/>
          <w:color w:val="1F2937"/>
          <w:sz w:val="22"/>
          <w:szCs w:val="22"/>
        </w:rPr>
        <w:t xml:space="preserve">Questions concrètes à poser à un CGP ou CIF agréé :</w:t>
      </w:r>
    </w:p>
    <w:p>
      <w:pPr>
        <w:pStyle w:val="ListParagraph"/>
        <w:numPr>
          <w:ilvl w:val="0"/>
          <w:numId w:val="2"/>
        </w:numPr>
        <w:spacing w:after="60"/>
      </w:pPr>
      <w:r>
        <w:rPr>
          <w:rFonts w:ascii="Times New Roman" w:cs="Times New Roman" w:eastAsia="Times New Roman" w:hAnsi="Times New Roman"/>
          <w:color w:val="1F2937"/>
          <w:sz w:val="22"/>
          <w:szCs w:val="22"/>
        </w:rPr>
        <w:t xml:space="preserve">Quelle est la composition exacte de l'allocation pilotée de mon contrat, et qui gère les fonds sous-jacents ? Quelle part sont des fonds maison ?</w:t>
      </w:r>
    </w:p>
    <w:p>
      <w:pPr>
        <w:pStyle w:val="ListParagraph"/>
        <w:numPr>
          <w:ilvl w:val="0"/>
          <w:numId w:val="2"/>
        </w:numPr>
        <w:spacing w:after="60"/>
      </w:pPr>
      <w:r>
        <w:rPr>
          <w:rFonts w:ascii="Times New Roman" w:cs="Times New Roman" w:eastAsia="Times New Roman" w:hAnsi="Times New Roman"/>
          <w:color w:val="1F2937"/>
          <w:sz w:val="22"/>
          <w:szCs w:val="22"/>
        </w:rPr>
        <w:t xml:space="preserve">Quel est le coût total annuel de la gestion pilotée (frais contrat + frais supports + frais de mandat), et comment se compare-t-il à une gestion libre en ETF dans le même contrat ?</w:t>
      </w:r>
    </w:p>
    <w:p>
      <w:pPr>
        <w:pStyle w:val="ListParagraph"/>
        <w:numPr>
          <w:ilvl w:val="0"/>
          <w:numId w:val="2"/>
        </w:numPr>
        <w:spacing w:after="60"/>
      </w:pPr>
      <w:r>
        <w:rPr>
          <w:rFonts w:ascii="Times New Roman" w:cs="Times New Roman" w:eastAsia="Times New Roman" w:hAnsi="Times New Roman"/>
          <w:color w:val="1F2937"/>
          <w:sz w:val="22"/>
          <w:szCs w:val="22"/>
        </w:rPr>
        <w:t xml:space="preserve">Si je souhaite passer de gestion pilotée à gestion libre (ou l'inverse), quels sont les délais, les frais d'arbitrage éventuels et les conditions contractuelles ?</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Prochaine leçon</w:t>
      </w:r>
    </w:p>
    <w:p>
      <w:pPr>
        <w:spacing w:after="80"/>
      </w:pPr>
      <w:r>
        <w:rPr>
          <w:rFonts w:ascii="Times New Roman" w:cs="Times New Roman" w:eastAsia="Times New Roman" w:hAnsi="Times New Roman"/>
          <w:color w:val="1F2937"/>
          <w:sz w:val="22"/>
          <w:szCs w:val="22"/>
        </w:rPr>
        <w:t xml:space="preserve">Leçon n°15 — Les biais comportementaux de l'épargnant</w:t>
      </w:r>
    </w:p>
    <w:p>
      <w:pPr>
        <w:spacing w:after="80"/>
      </w:pPr>
      <w:r>
        <w:rPr>
          <w:rFonts w:ascii="Times New Roman" w:cs="Times New Roman" w:eastAsia="Times New Roman" w:hAnsi="Times New Roman"/>
          <w:color w:val="1F2937"/>
          <w:sz w:val="22"/>
          <w:szCs w:val="22"/>
        </w:rPr>
        <w:t xml:space="preserve">Comment nos émotions et nos raccourcis cognitifs sabotent nos décisions financières : aversion aux pertes, excès de confiance, biais de récence, biais de confirmation. Et comment construire des garde-fous systémiques pour s'en protéger.</w:t>
      </w:r>
      <w:r>
        <w:rPr>
          <w:rFonts w:ascii="Times New Roman" w:cs="Times New Roman" w:eastAsia="Times New Roman" w:hAnsi="Times New Roman"/>
          <w:i/>
          <w:iCs/>
          <w:color w:val="6B7280"/>
          <w:sz w:val="20"/>
          <w:szCs w:val="20"/>
        </w:rPr>
        <w:t xml:space="preserve"> Thèmes annoncés : biais comportementaux, aversion aux pertes, excès de confiance, biais de récence, biais de confirmation, garde-fous.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40"/>
      </w:pPr>
      <w:r>
        <w:t xml:space="preserve"/>
      </w:r>
    </w:p>
    <w:p>
      <w:pPr>
        <w:spacing w:after="120" w:before="320"/>
      </w:pPr>
      <w:r>
        <w:rPr>
          <w:rFonts w:ascii="Times New Roman" w:cs="Times New Roman" w:eastAsia="Times New Roman" w:hAnsi="Times New Roman"/>
          <w:b/>
          <w:bCs/>
          <w:color w:val="1B3A6B"/>
          <w:sz w:val="28"/>
          <w:szCs w:val="28"/>
        </w:rPr>
        <w:t xml:space="preserve">📝 Journal des corrections — 12 septembre 2026</w:t>
      </w:r>
    </w:p>
    <w:p>
      <w:pPr>
        <w:spacing w:after="70"/>
      </w:pPr>
      <w:r>
        <w:rPr>
          <w:rFonts w:ascii="Times New Roman" w:cs="Times New Roman" w:eastAsia="Times New Roman" w:hAnsi="Times New Roman"/>
          <w:b/>
          <w:bCs/>
          <w:color w:val="1F2937"/>
          <w:sz w:val="22"/>
          <w:szCs w:val="22"/>
        </w:rPr>
        <w:t xml:space="preserve">Leçon produite et relue le 12/09/2026. QUATRE corrections, fondues dans le texte ; les formulations d'origine sont conservées ici.</w:t>
      </w:r>
    </w:p>
    <w:p>
      <w:pPr>
        <w:spacing w:after="70"/>
      </w:pPr>
      <w:r>
        <w:rPr>
          <w:rFonts w:ascii="Times New Roman" w:cs="Times New Roman" w:eastAsia="Times New Roman" w:hAnsi="Times New Roman"/>
          <w:color w:val="1F2937"/>
          <w:sz w:val="22"/>
          <w:szCs w:val="22"/>
        </w:rPr>
        <w:t xml:space="preserve">① Une source nommée, datée, sans adresse — et la date était fausse. La leçon écrivait « L'AMF a annoncé le 31 mai 2026 que les commissions de mouvement… seront interdites pour les nouveaux mandats à partir du 1er janvier 2027 », avec pour toute référence « Source : AMF, annonce…, 31/05/2026 » et aucun lien. Aucune des cinq pages citées ne porte cette annonce. Recherche faite le 12/09/2026 : elle existe, sur amf-france.org, et son contenu est exact — mais elle est PUBLIÉE LE 4 AVRIL 2025. Le « 31/05/2026 » est l'horodatage d'impression qui figure en en-tête du PDF de l'AMF (« 31/05/2026 15:50 Page 1 sur 3 ») : un dimanche. La leçon a pris la date à laquelle quelqu'un a imprimé un document pour la date d'une décision du régulateur, avec quatorze mois d'écart, et l'a présentée comme une nouvelle. L'adresse est ajoutée aux Ressources, la date rectifiée.</w:t>
      </w:r>
    </w:p>
    <w:p>
      <w:pPr>
        <w:spacing w:after="70"/>
      </w:pPr>
      <w:r>
        <w:rPr>
          <w:rFonts w:ascii="Times New Roman" w:cs="Times New Roman" w:eastAsia="Times New Roman" w:hAnsi="Times New Roman"/>
          <w:color w:val="1F2937"/>
          <w:sz w:val="22"/>
          <w:szCs w:val="22"/>
        </w:rPr>
        <w:t xml:space="preserve">② La même page contenait ce que la leçon omettait, sur son propre cas. L'AMF précise que l'interdiction s'applique « à partir du 1er janvier 2028 pour les mandats de gestion conclus avant le 1er janvier 2027, y compris les contrats à tacite reconduction ». La leçon ne parlait que des nouveaux mandats. Or sa situation C est Renaud, qui a signé son mandat il y a cinq ans — un mandat existant, concerné en 2028 et non en 2027. Le corrigé le dit désormais.</w:t>
      </w:r>
    </w:p>
    <w:p>
      <w:pPr>
        <w:spacing w:after="70"/>
      </w:pPr>
      <w:r>
        <w:rPr>
          <w:rFonts w:ascii="Times New Roman" w:cs="Times New Roman" w:eastAsia="Times New Roman" w:hAnsi="Times New Roman"/>
          <w:color w:val="1F2937"/>
          <w:sz w:val="22"/>
          <w:szCs w:val="22"/>
        </w:rPr>
        <w:t xml:space="preserve">③ Le facteur de l'exercice 2 était arrondi de travers. (1,028)^8 vaut 1,2472 ; la leçon écrivait 1,249, soit 37 470 € au lieu de 37 417 €, et un écart « environ 4 230 € » au lieu de 4 276 €. Cinquante euros sur trente mille — mais 1,2472 n'arrondit pas à 1,249, et c'est précisément la formule que l'exercice demande de maîtriser. Le scénario A (1,3898 → 41 693 €) et la somme de la clause 2 (2,15 %) étaient justes.</w:t>
      </w:r>
    </w:p>
    <w:p>
      <w:pPr>
        <w:spacing w:after="70"/>
      </w:pPr>
      <w:r>
        <w:rPr>
          <w:rFonts w:ascii="Times New Roman" w:cs="Times New Roman" w:eastAsia="Times New Roman" w:hAnsi="Times New Roman"/>
          <w:color w:val="1F2937"/>
          <w:sz w:val="22"/>
          <w:szCs w:val="22"/>
        </w:rPr>
        <w:t xml:space="preserve">④ Le libellé de la ressource ABE Infoservice annonçait « 403 anti-robot ». La page répond 200 à un navigateur, avec 22 051 caractères utiles ; la citation et les trois profils que la leçon lui attribue y sont bien. Le 403 ne concernait que l'agent du job. Le libellé le précise, et donne la mesure.</w:t>
      </w:r>
    </w:p>
    <w:p>
      <w:pPr>
        <w:spacing w:after="70"/>
      </w:pPr>
      <w:r>
        <w:rPr>
          <w:rFonts w:ascii="Times New Roman" w:cs="Times New Roman" w:eastAsia="Times New Roman" w:hAnsi="Times New Roman"/>
          <w:color w:val="1F2937"/>
          <w:sz w:val="22"/>
          <w:szCs w:val="22"/>
        </w:rPr>
        <w:t xml:space="preserve">Vérifié lors de la relecture et inchangé. Les cinq URL d'origine répondent 200. La citation de La Finance pour Tous sur les frais d'arbitrage est mot pour mot, et sa date « 28 juillet 2025 » est celle de la page. Tout le cadre légal du mandat (loi n° 2023-973, article 35, 24 octobre 2024, décret n° 2024-572) figure sur la page France Épargne, que la leçon qualifie justement de secondaire. La leçon refuse de chiffrer les frais de mandat alors que Calcunet lui offrait une fourchette, déclare fictifs ses rendements et ses clauses, et porte quatre fois l'avertissement de non-conseil : c'est la bonne pratique de ce parcours, et elle est conservée.</w:t>
      </w:r>
    </w:p>
    <w:p>
      <w:pPr>
        <w:spacing w:before="120"/>
        <w:jc w:val="center"/>
      </w:pPr>
      <w:r>
        <w:rPr>
          <w:rFonts w:ascii="Times New Roman" w:cs="Times New Roman" w:eastAsia="Times New Roman" w:hAnsi="Times New Roman"/>
          <w:i/>
          <w:iCs/>
          <w:color w:val="6B7280"/>
          <w:sz w:val="18"/>
          <w:szCs w:val="18"/>
        </w:rPr>
        <w:t xml:space="preserve">Document éducatif — Éducation financière générale. Ne constitue pas un conseil en investissement. Risque de perte en capital sur les supports en unités de compte. Consulter un CGP ou CIF agréé pour toute décision personnelle.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Un thème annoncé par la leçon 13 et traité sous un seul angle.</w:t>
      </w:r>
      <w:r>
        <w:rPr>
          <w:rFonts w:ascii="Times New Roman" w:cs="Times New Roman" w:eastAsia="Times New Roman" w:hAnsi="Times New Roman"/>
          <w:color w:val="1F2937"/>
          <w:sz w:val="22"/>
          <w:szCs w:val="22"/>
        </w:rPr>
        <w:t xml:space="preserve"> « Comment évaluer la qualité d'un mandat de gestion ? » : cette leçon répond par le coût et par le contenu de la convention, ce qui est utile et vérifiable, mais laisse de côté la performance nette comparée, l'historique du mandataire et le reporting attendu. Le mot « qualité » ne figure pas dans le document (vérifié le 26/09/2026). Précisé à l'endroit de l'objectif plutôt que réécrit.</w:t>
      </w:r>
    </w:p>
    <w:p>
      <w:pPr>
        <w:spacing w:after="60" w:before="60" w:line="276"/>
      </w:pPr>
      <w:r>
        <w:rPr>
          <w:rFonts w:ascii="Times New Roman" w:cs="Times New Roman" w:eastAsia="Times New Roman" w:hAnsi="Times New Roman"/>
          <w:b/>
          <w:bCs/>
          <w:color w:val="1F2937"/>
          <w:sz w:val="22"/>
          <w:szCs w:val="22"/>
        </w:rPr>
        <w:t xml:space="preserve">Et une ligne d'annonce a été ajoutée pour la leçon 15.</w:t>
      </w:r>
      <w:r>
        <w:rPr>
          <w:rFonts w:ascii="Times New Roman" w:cs="Times New Roman" w:eastAsia="Times New Roman" w:hAnsi="Times New Roman"/>
          <w:color w:val="1F2937"/>
          <w:sz w:val="22"/>
          <w:szCs w:val="22"/>
        </w:rPr>
        <w:t xml:space="preserve"> La section « Prochaine leçon » porte désormais « Thèmes annoncés : … ». C'est cette ligne qui a permis de constater, le 26/09/2026, que le biais de récence qu'elle annonce n'est pas traité par la leçon 15 — laquelle traite le biais de disponibilité à la place.</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1re6rbpc_gujpyhbj23s" Type="http://schemas.openxmlformats.org/officeDocument/2006/relationships/hyperlink" Target="https://www.lafinancepourtous.com/pratique/placements/assurance-vie/quels-sont-les-frais-preleves/" TargetMode="External"/><Relationship Id="rIdgykzkkiez91tdsdkiujt4" Type="http://schemas.openxmlformats.org/officeDocument/2006/relationships/hyperlink" Target="https://www.france-epargne.fr/academy/assurance-vie-epargne/av-gestion-pilotee" TargetMode="External"/><Relationship Id="rIdjsoqutmv1s8sjaxayrf47" Type="http://schemas.openxmlformats.org/officeDocument/2006/relationships/hyperlink" Target="https://calcunet.fr/articles/gestion-pilotee-assurance-vie-per-2026/" TargetMode="External"/><Relationship Id="rIdpug2aimwrqbpsf4f0-9y4" Type="http://schemas.openxmlformats.org/officeDocument/2006/relationships/hyperlink" Target="https://www.abe-infoservice.fr/fr/assurance/assurance-et-contrats-de-retraite-supplementaire/en-assurance-et-contrats-de-retraite-supplementaire-quel-fonctionnement" TargetMode="External"/><Relationship Id="rIdrzbehfr-fuyb-m1z4_s3j" Type="http://schemas.openxmlformats.org/officeDocument/2006/relationships/hyperlink" Target="https://www.lafinancepourtous.com/pratique/placements/assurance-vie/qu-est-ce-que-l-assurance-vie/" TargetMode="External"/><Relationship Id="rId12" Type="http://schemas.openxmlformats.org/officeDocument/2006/relationships/fontTable" Target="fontTable.xml"/><Relationship Id="rIdamfcommissions20260912" Type="http://schemas.openxmlformats.org/officeDocument/2006/relationships/hyperlink" Target="https://www.amf-france.org/fr/actualites-publications/actualites/frais-lamf-annonce-la-suppression-des-commissions-de-mouvement-pour-la-gestion-sous-manda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2026-09-12T06:12:31.971Z</dcterms:created>
  <dcterms:modified xsi:type="dcterms:W3CDTF">2026-09-12T06:12:31.972Z</dcterms:modified>
</cp:coreProperties>
</file>

<file path=docProps/custom.xml><?xml version="1.0" encoding="utf-8"?>
<Properties xmlns="http://schemas.openxmlformats.org/officeDocument/2006/custom-properties" xmlns:vt="http://schemas.openxmlformats.org/officeDocument/2006/docPropsVTypes"/>
</file>